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黑体" w:eastAsia="黑体"/>
          <w:spacing w:val="-2"/>
          <w:sz w:val="32"/>
        </w:rPr>
      </w:pPr>
      <w:bookmarkStart w:id="0" w:name="_Toc332433906"/>
      <w:bookmarkStart w:id="9" w:name="_GoBack"/>
      <w:bookmarkEnd w:id="9"/>
      <w:r>
        <w:rPr>
          <w:rFonts w:hint="eastAsia" w:ascii="黑体" w:eastAsia="黑体"/>
          <w:spacing w:val="-2"/>
          <w:sz w:val="32"/>
        </w:rPr>
        <w:t>附件</w:t>
      </w:r>
    </w:p>
    <w:p>
      <w:pPr>
        <w:spacing w:line="540" w:lineRule="atLeast"/>
        <w:ind w:firstLine="872" w:firstLineChars="200"/>
        <w:jc w:val="center"/>
        <w:rPr>
          <w:rFonts w:ascii="华文中宋" w:hAnsi="华文中宋" w:eastAsia="华文中宋"/>
          <w:spacing w:val="-2"/>
          <w:sz w:val="44"/>
          <w:szCs w:val="44"/>
        </w:rPr>
      </w:pPr>
    </w:p>
    <w:bookmarkEnd w:id="0"/>
    <w:p>
      <w:pPr>
        <w:jc w:val="center"/>
        <w:rPr>
          <w:rFonts w:ascii="华文中宋" w:hAnsi="华文中宋" w:eastAsia="华文中宋" w:cs="华文中宋"/>
          <w:b/>
          <w:bCs/>
          <w:spacing w:val="0"/>
          <w:kern w:val="0"/>
          <w:sz w:val="44"/>
          <w:szCs w:val="44"/>
        </w:rPr>
      </w:pPr>
      <w:r>
        <w:rPr>
          <w:rFonts w:hint="eastAsia" w:ascii="华文中宋" w:hAnsi="华文中宋" w:eastAsia="华文中宋" w:cs="华文中宋"/>
          <w:b/>
          <w:bCs/>
          <w:spacing w:val="0"/>
          <w:kern w:val="0"/>
          <w:sz w:val="44"/>
          <w:szCs w:val="44"/>
        </w:rPr>
        <w:t>资产评估专家指引第7号</w:t>
      </w:r>
      <w:r>
        <w:rPr>
          <w:rFonts w:hint="eastAsia" w:ascii="华文中宋" w:hAnsi="华文中宋" w:eastAsia="华文中宋" w:cs="华文中宋"/>
          <w:b/>
          <w:bCs/>
          <w:spacing w:val="-40"/>
          <w:kern w:val="0"/>
          <w:sz w:val="44"/>
          <w:szCs w:val="44"/>
        </w:rPr>
        <w:t>—</w:t>
      </w:r>
      <w:r>
        <w:rPr>
          <w:rFonts w:hint="eastAsia" w:ascii="华文中宋" w:hAnsi="华文中宋" w:eastAsia="华文中宋" w:cs="华文中宋"/>
          <w:b/>
          <w:bCs/>
          <w:spacing w:val="0"/>
          <w:kern w:val="0"/>
          <w:sz w:val="44"/>
          <w:szCs w:val="44"/>
        </w:rPr>
        <w:t>—中小评估</w:t>
      </w:r>
    </w:p>
    <w:p>
      <w:pPr>
        <w:jc w:val="center"/>
        <w:rPr>
          <w:rFonts w:ascii="华文中宋" w:hAnsi="华文中宋" w:eastAsia="华文中宋" w:cs="华文中宋"/>
          <w:b/>
          <w:bCs/>
          <w:spacing w:val="0"/>
          <w:kern w:val="0"/>
          <w:sz w:val="44"/>
          <w:szCs w:val="44"/>
        </w:rPr>
      </w:pPr>
      <w:r>
        <w:rPr>
          <w:rFonts w:hint="eastAsia" w:ascii="华文中宋" w:hAnsi="华文中宋" w:eastAsia="华文中宋" w:cs="华文中宋"/>
          <w:b/>
          <w:bCs/>
          <w:spacing w:val="0"/>
          <w:kern w:val="0"/>
          <w:sz w:val="44"/>
          <w:szCs w:val="44"/>
        </w:rPr>
        <w:t>机构业务质量控制</w:t>
      </w:r>
    </w:p>
    <w:p>
      <w:pPr>
        <w:spacing w:line="420" w:lineRule="atLeast"/>
        <w:ind w:firstLine="632" w:firstLineChars="200"/>
        <w:rPr>
          <w:spacing w:val="-2"/>
          <w:sz w:val="32"/>
        </w:rPr>
      </w:pPr>
    </w:p>
    <w:p>
      <w:pPr>
        <w:ind w:firstLine="664" w:firstLineChars="200"/>
        <w:rPr>
          <w:rFonts w:ascii="仿宋_GB2312"/>
          <w:sz w:val="32"/>
          <w:szCs w:val="32"/>
        </w:rPr>
      </w:pPr>
      <w:r>
        <w:rPr>
          <w:rFonts w:hint="eastAsia" w:ascii="仿宋_GB2312"/>
          <w:sz w:val="32"/>
          <w:szCs w:val="32"/>
        </w:rPr>
        <w:t>本专家指引是一种专家建议。评估机构执行资产评估业务，可以参照本专家指引，也可以根据具体情况采用其他适当的做法。中国资产评估协会将根据业务发展，对本专家指引进行更新。</w:t>
      </w:r>
    </w:p>
    <w:p>
      <w:pPr>
        <w:widowControl w:val="0"/>
        <w:wordWrap/>
        <w:autoSpaceDE w:val="0"/>
        <w:autoSpaceDN w:val="0"/>
        <w:adjustRightInd w:val="0"/>
        <w:snapToGrid w:val="0"/>
        <w:spacing w:before="157" w:beforeLines="50" w:after="157" w:afterLines="50" w:line="588" w:lineRule="atLeast"/>
        <w:ind w:left="0" w:leftChars="0" w:right="0" w:firstLine="0" w:firstLineChars="0"/>
        <w:jc w:val="center"/>
        <w:textAlignment w:val="auto"/>
        <w:outlineLvl w:val="9"/>
        <w:rPr>
          <w:rFonts w:hint="eastAsia" w:ascii="仿宋_GB2312"/>
          <w:b/>
          <w:sz w:val="32"/>
          <w:szCs w:val="32"/>
        </w:rPr>
      </w:pPr>
      <w:r>
        <w:rPr>
          <w:rFonts w:hint="eastAsia" w:ascii="仿宋_GB2312" w:hAnsi="仿宋_GB2312" w:eastAsia="仿宋_GB2312" w:cs="仿宋_GB2312"/>
          <w:b/>
          <w:bCs/>
          <w:spacing w:val="-2"/>
          <w:sz w:val="32"/>
        </w:rPr>
        <w:t>第一章  引言</w:t>
      </w:r>
    </w:p>
    <w:p>
      <w:pPr>
        <w:ind w:firstLine="632" w:firstLineChars="200"/>
        <w:rPr>
          <w:bCs/>
          <w:spacing w:val="-2"/>
          <w:sz w:val="32"/>
        </w:rPr>
      </w:pPr>
      <w:r>
        <w:rPr>
          <w:rFonts w:hint="eastAsia"/>
          <w:spacing w:val="-2"/>
          <w:sz w:val="32"/>
        </w:rPr>
        <w:t>第一条 为指导</w:t>
      </w:r>
      <w:r>
        <w:rPr>
          <w:rFonts w:hint="eastAsia"/>
          <w:bCs/>
          <w:spacing w:val="-2"/>
          <w:sz w:val="32"/>
        </w:rPr>
        <w:t>中小评估机构建立健全业务质量控制制度和程序，促进中小评估机构实现业务质量控制目标，中国资产评估协会组织制定了本专家指引。</w:t>
      </w:r>
    </w:p>
    <w:p>
      <w:pPr>
        <w:ind w:firstLine="632" w:firstLineChars="200"/>
        <w:rPr>
          <w:bCs/>
          <w:spacing w:val="-2"/>
          <w:sz w:val="32"/>
        </w:rPr>
      </w:pPr>
      <w:r>
        <w:rPr>
          <w:rFonts w:hint="eastAsia"/>
          <w:bCs/>
          <w:spacing w:val="-2"/>
          <w:sz w:val="32"/>
        </w:rPr>
        <w:t>第二条 中小评估机构的业务质量控制目标包括以下内容：</w:t>
      </w:r>
    </w:p>
    <w:p>
      <w:pPr>
        <w:ind w:firstLine="632" w:firstLineChars="200"/>
        <w:rPr>
          <w:bCs/>
          <w:spacing w:val="-2"/>
          <w:sz w:val="32"/>
        </w:rPr>
      </w:pPr>
      <w:r>
        <w:rPr>
          <w:rFonts w:hint="eastAsia"/>
          <w:bCs/>
          <w:spacing w:val="-2"/>
          <w:sz w:val="32"/>
        </w:rPr>
        <w:t>（一）中小评估机构及其相关人员遵守法律法规、资产评估准则的规定；</w:t>
      </w:r>
    </w:p>
    <w:p>
      <w:pPr>
        <w:ind w:firstLine="632" w:firstLineChars="200"/>
        <w:rPr>
          <w:bCs/>
          <w:spacing w:val="-2"/>
          <w:sz w:val="32"/>
        </w:rPr>
      </w:pPr>
      <w:r>
        <w:rPr>
          <w:rFonts w:hint="eastAsia"/>
          <w:bCs/>
          <w:spacing w:val="-2"/>
          <w:sz w:val="32"/>
        </w:rPr>
        <w:t>（二）中小评估机构及其相关人员勤勉尽责，保证业务质量，防范执业风险。</w:t>
      </w:r>
    </w:p>
    <w:p>
      <w:pPr>
        <w:ind w:firstLine="632" w:firstLineChars="200"/>
        <w:rPr>
          <w:spacing w:val="-2"/>
          <w:sz w:val="32"/>
        </w:rPr>
      </w:pPr>
      <w:r>
        <w:rPr>
          <w:rFonts w:hint="eastAsia"/>
          <w:bCs/>
          <w:spacing w:val="-2"/>
          <w:sz w:val="32"/>
        </w:rPr>
        <w:t xml:space="preserve">第三条 </w:t>
      </w:r>
      <w:r>
        <w:rPr>
          <w:rFonts w:hint="eastAsia"/>
          <w:spacing w:val="-2"/>
          <w:sz w:val="32"/>
        </w:rPr>
        <w:t>中小评估机构应当制定质量控制制度，为执行质量控制制度设计必要程序，具体包括以下内容：</w:t>
      </w:r>
    </w:p>
    <w:p>
      <w:pPr>
        <w:ind w:firstLine="632" w:firstLineChars="200"/>
        <w:rPr>
          <w:bCs/>
          <w:spacing w:val="-2"/>
          <w:sz w:val="32"/>
        </w:rPr>
      </w:pPr>
      <w:r>
        <w:rPr>
          <w:rFonts w:hint="eastAsia"/>
          <w:bCs/>
          <w:spacing w:val="-2"/>
          <w:sz w:val="32"/>
        </w:rPr>
        <w:t>（一）质量控制责任；</w:t>
      </w:r>
    </w:p>
    <w:p>
      <w:pPr>
        <w:ind w:firstLine="632" w:firstLineChars="200"/>
        <w:rPr>
          <w:bCs/>
          <w:spacing w:val="-2"/>
          <w:sz w:val="32"/>
        </w:rPr>
      </w:pPr>
      <w:r>
        <w:rPr>
          <w:rFonts w:hint="eastAsia"/>
          <w:bCs/>
          <w:spacing w:val="-2"/>
          <w:sz w:val="32"/>
        </w:rPr>
        <w:t>（二）职业道德；</w:t>
      </w:r>
    </w:p>
    <w:p>
      <w:pPr>
        <w:ind w:firstLine="632" w:firstLineChars="200"/>
        <w:rPr>
          <w:bCs/>
          <w:spacing w:val="-2"/>
          <w:sz w:val="32"/>
        </w:rPr>
      </w:pPr>
      <w:r>
        <w:rPr>
          <w:rFonts w:hint="eastAsia"/>
          <w:bCs/>
          <w:spacing w:val="-2"/>
          <w:sz w:val="32"/>
        </w:rPr>
        <w:t>（三）人力资源；</w:t>
      </w:r>
    </w:p>
    <w:p>
      <w:pPr>
        <w:ind w:firstLine="632" w:firstLineChars="200"/>
        <w:rPr>
          <w:bCs/>
          <w:spacing w:val="-2"/>
          <w:sz w:val="32"/>
        </w:rPr>
      </w:pPr>
      <w:r>
        <w:rPr>
          <w:rFonts w:hint="eastAsia"/>
          <w:bCs/>
          <w:spacing w:val="-2"/>
          <w:sz w:val="32"/>
        </w:rPr>
        <w:t>（四）评估业务承接；</w:t>
      </w:r>
    </w:p>
    <w:p>
      <w:pPr>
        <w:ind w:firstLine="632" w:firstLineChars="200"/>
        <w:rPr>
          <w:bCs/>
          <w:spacing w:val="-2"/>
          <w:sz w:val="32"/>
        </w:rPr>
      </w:pPr>
      <w:r>
        <w:rPr>
          <w:rFonts w:hint="eastAsia"/>
          <w:bCs/>
          <w:spacing w:val="-2"/>
          <w:sz w:val="32"/>
        </w:rPr>
        <w:t>（五）评估业务计划；</w:t>
      </w:r>
    </w:p>
    <w:p>
      <w:pPr>
        <w:ind w:firstLine="632" w:firstLineChars="200"/>
        <w:rPr>
          <w:bCs/>
          <w:spacing w:val="-2"/>
          <w:sz w:val="32"/>
        </w:rPr>
      </w:pPr>
      <w:r>
        <w:rPr>
          <w:rFonts w:hint="eastAsia"/>
          <w:bCs/>
          <w:spacing w:val="-2"/>
          <w:sz w:val="32"/>
        </w:rPr>
        <w:t>（六）评估业务实施和报告出具；</w:t>
      </w:r>
    </w:p>
    <w:p>
      <w:pPr>
        <w:ind w:firstLine="632" w:firstLineChars="200"/>
        <w:rPr>
          <w:bCs/>
          <w:spacing w:val="-2"/>
          <w:sz w:val="32"/>
        </w:rPr>
      </w:pPr>
      <w:r>
        <w:rPr>
          <w:rFonts w:hint="eastAsia"/>
          <w:bCs/>
          <w:spacing w:val="-2"/>
          <w:sz w:val="32"/>
        </w:rPr>
        <w:t>（七）监控和改进；</w:t>
      </w:r>
    </w:p>
    <w:p>
      <w:pPr>
        <w:ind w:firstLine="632" w:firstLineChars="200"/>
        <w:rPr>
          <w:bCs/>
          <w:spacing w:val="-2"/>
          <w:sz w:val="32"/>
        </w:rPr>
      </w:pPr>
      <w:r>
        <w:rPr>
          <w:rFonts w:hint="eastAsia"/>
          <w:bCs/>
          <w:spacing w:val="-2"/>
          <w:sz w:val="32"/>
        </w:rPr>
        <w:t>（八）文件和记录。</w:t>
      </w:r>
    </w:p>
    <w:p>
      <w:pPr>
        <w:ind w:firstLine="632" w:firstLineChars="200"/>
        <w:rPr>
          <w:spacing w:val="-2"/>
          <w:sz w:val="32"/>
        </w:rPr>
      </w:pPr>
      <w:r>
        <w:rPr>
          <w:rFonts w:hint="eastAsia"/>
          <w:bCs/>
          <w:spacing w:val="-2"/>
          <w:sz w:val="32"/>
        </w:rPr>
        <w:t>第四条 中小</w:t>
      </w:r>
      <w:r>
        <w:rPr>
          <w:rFonts w:hint="eastAsia"/>
          <w:spacing w:val="-2"/>
          <w:sz w:val="32"/>
        </w:rPr>
        <w:t>评估机构应当将质量控制制度和程序形成书面文件，传达到全体人员，记录制度和程序的执行情况。</w:t>
      </w:r>
    </w:p>
    <w:p>
      <w:pPr>
        <w:ind w:firstLine="632" w:firstLineChars="200"/>
        <w:rPr>
          <w:spacing w:val="-2"/>
          <w:sz w:val="32"/>
        </w:rPr>
      </w:pPr>
      <w:r>
        <w:rPr>
          <w:rFonts w:hint="eastAsia"/>
          <w:spacing w:val="-2"/>
          <w:sz w:val="32"/>
        </w:rPr>
        <w:t>中小评估机构人员应当根据岗位职责要求，掌握和执行这些制度和程序，及时向所在评估机构反馈对质量控制制度和程序的意见和建议。</w:t>
      </w:r>
    </w:p>
    <w:p>
      <w:pPr>
        <w:widowControl w:val="0"/>
        <w:wordWrap/>
        <w:autoSpaceDE w:val="0"/>
        <w:autoSpaceDN w:val="0"/>
        <w:adjustRightInd w:val="0"/>
        <w:snapToGrid w:val="0"/>
        <w:spacing w:before="157" w:beforeLines="50" w:after="157" w:afterLines="50" w:line="588" w:lineRule="atLeast"/>
        <w:ind w:left="0" w:leftChars="0" w:right="0" w:firstLine="0" w:firstLineChars="0"/>
        <w:jc w:val="center"/>
        <w:textAlignment w:val="auto"/>
        <w:outlineLvl w:val="9"/>
        <w:rPr>
          <w:rFonts w:hint="eastAsia" w:ascii="仿宋_GB2312" w:hAnsi="仿宋_GB2312" w:eastAsia="仿宋_GB2312" w:cs="仿宋_GB2312"/>
          <w:b/>
          <w:bCs/>
          <w:spacing w:val="-2"/>
          <w:sz w:val="32"/>
        </w:rPr>
      </w:pPr>
      <w:bookmarkStart w:id="1" w:name="_Toc332433907"/>
      <w:r>
        <w:rPr>
          <w:rFonts w:hint="eastAsia" w:ascii="仿宋_GB2312" w:hAnsi="仿宋_GB2312" w:eastAsia="仿宋_GB2312" w:cs="仿宋_GB2312"/>
          <w:b/>
          <w:bCs/>
          <w:spacing w:val="-2"/>
          <w:sz w:val="32"/>
        </w:rPr>
        <w:t>第二章  质量控制责任</w:t>
      </w:r>
      <w:bookmarkEnd w:id="1"/>
    </w:p>
    <w:p>
      <w:pPr>
        <w:ind w:firstLine="632" w:firstLineChars="200"/>
        <w:rPr>
          <w:bCs/>
          <w:spacing w:val="-2"/>
          <w:sz w:val="32"/>
        </w:rPr>
      </w:pPr>
      <w:r>
        <w:rPr>
          <w:rFonts w:hint="eastAsia"/>
          <w:bCs/>
          <w:spacing w:val="-2"/>
          <w:sz w:val="32"/>
        </w:rPr>
        <w:t>第五条 中小评估机构应当合理界定质量控制主体承担的质量控制责任，并建立和落实责任追究机制。控制主体通常包括：</w:t>
      </w:r>
    </w:p>
    <w:p>
      <w:pPr>
        <w:ind w:firstLine="632" w:firstLineChars="200"/>
        <w:rPr>
          <w:bCs/>
          <w:spacing w:val="-2"/>
          <w:sz w:val="32"/>
        </w:rPr>
      </w:pPr>
      <w:r>
        <w:rPr>
          <w:rFonts w:hint="eastAsia"/>
          <w:bCs/>
          <w:spacing w:val="-2"/>
          <w:sz w:val="32"/>
        </w:rPr>
        <w:t>（一）最高管理层；</w:t>
      </w:r>
    </w:p>
    <w:p>
      <w:pPr>
        <w:ind w:firstLine="632" w:firstLineChars="200"/>
        <w:rPr>
          <w:bCs/>
          <w:spacing w:val="-2"/>
          <w:sz w:val="32"/>
        </w:rPr>
      </w:pPr>
      <w:r>
        <w:rPr>
          <w:rFonts w:hint="eastAsia"/>
          <w:bCs/>
          <w:spacing w:val="-2"/>
          <w:sz w:val="32"/>
        </w:rPr>
        <w:t>（二）首席评估师；</w:t>
      </w:r>
    </w:p>
    <w:p>
      <w:pPr>
        <w:ind w:firstLine="632" w:firstLineChars="200"/>
        <w:rPr>
          <w:bCs/>
          <w:spacing w:val="-2"/>
          <w:sz w:val="32"/>
        </w:rPr>
      </w:pPr>
      <w:r>
        <w:rPr>
          <w:rFonts w:hint="eastAsia"/>
          <w:bCs/>
          <w:spacing w:val="-2"/>
          <w:sz w:val="32"/>
        </w:rPr>
        <w:t>（三）项目负责人；</w:t>
      </w:r>
    </w:p>
    <w:p>
      <w:pPr>
        <w:ind w:firstLine="632" w:firstLineChars="200"/>
        <w:rPr>
          <w:bCs/>
          <w:spacing w:val="-2"/>
          <w:sz w:val="32"/>
        </w:rPr>
      </w:pPr>
      <w:r>
        <w:rPr>
          <w:rFonts w:hint="eastAsia"/>
          <w:bCs/>
          <w:spacing w:val="-2"/>
          <w:sz w:val="32"/>
        </w:rPr>
        <w:t>（四）项目审核人员；</w:t>
      </w:r>
    </w:p>
    <w:p>
      <w:pPr>
        <w:ind w:firstLine="632" w:firstLineChars="200"/>
        <w:rPr>
          <w:bCs/>
          <w:spacing w:val="-2"/>
          <w:sz w:val="32"/>
        </w:rPr>
      </w:pPr>
      <w:r>
        <w:rPr>
          <w:rFonts w:hint="eastAsia"/>
          <w:bCs/>
          <w:spacing w:val="-2"/>
          <w:sz w:val="32"/>
        </w:rPr>
        <w:t>（五）项目团队成员；</w:t>
      </w:r>
    </w:p>
    <w:p>
      <w:pPr>
        <w:ind w:firstLine="632" w:firstLineChars="200"/>
        <w:rPr>
          <w:bCs/>
          <w:spacing w:val="-2"/>
          <w:sz w:val="32"/>
        </w:rPr>
      </w:pPr>
      <w:r>
        <w:rPr>
          <w:rFonts w:hint="eastAsia"/>
          <w:bCs/>
          <w:spacing w:val="-2"/>
          <w:sz w:val="32"/>
        </w:rPr>
        <w:t>（六）评估机构其他人员。</w:t>
      </w:r>
    </w:p>
    <w:p>
      <w:pPr>
        <w:ind w:firstLine="632" w:firstLineChars="200"/>
        <w:rPr>
          <w:bCs/>
          <w:spacing w:val="-2"/>
          <w:sz w:val="32"/>
        </w:rPr>
      </w:pPr>
      <w:r>
        <w:rPr>
          <w:rFonts w:hint="eastAsia"/>
          <w:bCs/>
          <w:spacing w:val="-2"/>
          <w:sz w:val="32"/>
        </w:rPr>
        <w:t>第六条 最高管理层是指在中小评估机构内部指挥和控制评估机构的一个人或者一组人。最高管理层对业务质量控制承担最终责任。中小评估机构可以根据自身情况，确定最高管理层组成人员。当最高管理层为一个人时，公司制评估机构的最高管理层为法定代表人；合伙制评估机构的最高管理层为首席合伙人。</w:t>
      </w:r>
    </w:p>
    <w:p>
      <w:pPr>
        <w:ind w:firstLine="632" w:firstLineChars="200"/>
        <w:rPr>
          <w:bCs/>
          <w:spacing w:val="-2"/>
          <w:sz w:val="32"/>
        </w:rPr>
      </w:pPr>
      <w:r>
        <w:rPr>
          <w:rFonts w:hint="eastAsia"/>
          <w:bCs/>
          <w:spacing w:val="-2"/>
          <w:sz w:val="32"/>
        </w:rPr>
        <w:t>最高管理层应当在股东会（或者合伙人会议）授权的或者章程（或者合伙协议）规定的范围内行使职权，并承担以下职责：</w:t>
      </w:r>
    </w:p>
    <w:p>
      <w:pPr>
        <w:ind w:firstLine="632" w:firstLineChars="200"/>
        <w:rPr>
          <w:bCs/>
          <w:spacing w:val="-2"/>
          <w:sz w:val="32"/>
        </w:rPr>
      </w:pPr>
      <w:r>
        <w:rPr>
          <w:rFonts w:hint="eastAsia"/>
          <w:bCs/>
          <w:spacing w:val="-2"/>
          <w:sz w:val="32"/>
        </w:rPr>
        <w:t>（一）树立质量管理意识，让全体人员充分认识到业务质量控制的重要性，确保全员参与，以达到质量控制目标；</w:t>
      </w:r>
    </w:p>
    <w:p>
      <w:pPr>
        <w:ind w:firstLine="632" w:firstLineChars="200"/>
        <w:rPr>
          <w:bCs/>
          <w:spacing w:val="-2"/>
          <w:sz w:val="32"/>
        </w:rPr>
      </w:pPr>
      <w:r>
        <w:rPr>
          <w:rFonts w:hint="eastAsia"/>
          <w:bCs/>
          <w:spacing w:val="-2"/>
          <w:sz w:val="32"/>
        </w:rPr>
        <w:t>（二）贯彻中小评估机构的服务宗旨，确保全体人员理解服务宗旨的内涵，并评审其持续适宜性；</w:t>
      </w:r>
    </w:p>
    <w:p>
      <w:pPr>
        <w:ind w:firstLine="632" w:firstLineChars="200"/>
        <w:rPr>
          <w:bCs/>
          <w:spacing w:val="-2"/>
          <w:sz w:val="32"/>
        </w:rPr>
      </w:pPr>
      <w:r>
        <w:rPr>
          <w:rFonts w:hint="eastAsia"/>
          <w:bCs/>
          <w:spacing w:val="-2"/>
          <w:sz w:val="32"/>
        </w:rPr>
        <w:t>（三）制定各职能部门质量控制目标，质量控制目标应当具体、可测量和可实现，并与服务宗旨保持一致；</w:t>
      </w:r>
    </w:p>
    <w:p>
      <w:pPr>
        <w:ind w:firstLine="632" w:firstLineChars="200"/>
        <w:rPr>
          <w:bCs/>
          <w:spacing w:val="-2"/>
          <w:sz w:val="32"/>
        </w:rPr>
      </w:pPr>
      <w:r>
        <w:rPr>
          <w:rFonts w:hint="eastAsia"/>
          <w:bCs/>
          <w:spacing w:val="-2"/>
          <w:sz w:val="32"/>
        </w:rPr>
        <w:t>（四）策划组织架构，设计质量控制制度和程序，对其进行定期评审，确保其处于适宜、充分和有效的状态。</w:t>
      </w:r>
    </w:p>
    <w:p>
      <w:pPr>
        <w:ind w:firstLine="632" w:firstLineChars="200"/>
        <w:rPr>
          <w:bCs/>
          <w:spacing w:val="-2"/>
          <w:sz w:val="32"/>
        </w:rPr>
      </w:pPr>
      <w:r>
        <w:rPr>
          <w:rFonts w:hint="eastAsia"/>
          <w:bCs/>
          <w:spacing w:val="-2"/>
          <w:sz w:val="32"/>
        </w:rPr>
        <w:t>第七条 首席评估师是指最高管理层在业务质量控制方面的代表。首席评估师应当是评估机构的股东（或者合伙人），且应当具备履行职责所需要的经验和能力。首席评估师由最高管理层指定并授予其管理权限，直接对最高管理层负责。首席评估师承担以下职责：</w:t>
      </w:r>
    </w:p>
    <w:p>
      <w:pPr>
        <w:ind w:firstLine="632" w:firstLineChars="200"/>
        <w:rPr>
          <w:bCs/>
          <w:spacing w:val="-2"/>
          <w:sz w:val="32"/>
        </w:rPr>
      </w:pPr>
      <w:r>
        <w:rPr>
          <w:rFonts w:hint="eastAsia"/>
          <w:bCs/>
          <w:spacing w:val="-2"/>
          <w:sz w:val="32"/>
        </w:rPr>
        <w:t>（一）确保质量控制制度和程序的建立、实施和保持；</w:t>
      </w:r>
    </w:p>
    <w:p>
      <w:pPr>
        <w:ind w:firstLine="632" w:firstLineChars="200"/>
        <w:rPr>
          <w:bCs/>
          <w:spacing w:val="-2"/>
          <w:sz w:val="32"/>
        </w:rPr>
      </w:pPr>
      <w:r>
        <w:rPr>
          <w:rFonts w:hint="eastAsia"/>
          <w:bCs/>
          <w:spacing w:val="-2"/>
          <w:sz w:val="32"/>
        </w:rPr>
        <w:t>（二）监控质量控制制度和程序的运行情况，向最高管理层报告并提出改进的建议和方案；</w:t>
      </w:r>
    </w:p>
    <w:p>
      <w:pPr>
        <w:ind w:firstLine="632" w:firstLineChars="200"/>
        <w:rPr>
          <w:bCs/>
          <w:spacing w:val="-2"/>
          <w:sz w:val="32"/>
        </w:rPr>
      </w:pPr>
      <w:r>
        <w:rPr>
          <w:rFonts w:hint="eastAsia"/>
          <w:bCs/>
          <w:spacing w:val="-2"/>
          <w:sz w:val="32"/>
        </w:rPr>
        <w:t>（三）促进全体人员不断提高业务质量意识。</w:t>
      </w:r>
    </w:p>
    <w:p>
      <w:pPr>
        <w:ind w:firstLine="632" w:firstLineChars="200"/>
        <w:rPr>
          <w:bCs/>
          <w:spacing w:val="-2"/>
          <w:sz w:val="32"/>
        </w:rPr>
      </w:pPr>
      <w:r>
        <w:rPr>
          <w:rFonts w:hint="eastAsia"/>
          <w:bCs/>
          <w:spacing w:val="-2"/>
          <w:sz w:val="32"/>
        </w:rPr>
        <w:t>第八条 项目负责人是指负责某项业务及其执行，并在评估报告上签字的资产评估师。项目负责人承担以下职责：</w:t>
      </w:r>
    </w:p>
    <w:p>
      <w:pPr>
        <w:ind w:firstLine="632" w:firstLineChars="200"/>
        <w:rPr>
          <w:bCs/>
          <w:spacing w:val="-2"/>
          <w:sz w:val="32"/>
        </w:rPr>
      </w:pPr>
      <w:r>
        <w:rPr>
          <w:rFonts w:hint="eastAsia"/>
          <w:bCs/>
          <w:spacing w:val="-2"/>
          <w:sz w:val="32"/>
        </w:rPr>
        <w:t>（一）评估计划的制订和组织实施；</w:t>
      </w:r>
    </w:p>
    <w:p>
      <w:pPr>
        <w:ind w:firstLine="632" w:firstLineChars="200"/>
        <w:rPr>
          <w:bCs/>
          <w:spacing w:val="-2"/>
          <w:sz w:val="32"/>
        </w:rPr>
      </w:pPr>
      <w:r>
        <w:rPr>
          <w:rFonts w:hint="eastAsia"/>
          <w:bCs/>
          <w:spacing w:val="-2"/>
          <w:sz w:val="32"/>
        </w:rPr>
        <w:t>（二）评估业务实施中的协调和沟通；</w:t>
      </w:r>
    </w:p>
    <w:p>
      <w:pPr>
        <w:ind w:firstLine="632" w:firstLineChars="200"/>
        <w:rPr>
          <w:bCs/>
          <w:spacing w:val="-2"/>
          <w:sz w:val="32"/>
        </w:rPr>
      </w:pPr>
      <w:r>
        <w:rPr>
          <w:rFonts w:hint="eastAsia"/>
          <w:bCs/>
          <w:spacing w:val="-2"/>
          <w:sz w:val="32"/>
        </w:rPr>
        <w:t>（三）按照程序报告与评估业务相关的重要信息；</w:t>
      </w:r>
    </w:p>
    <w:p>
      <w:pPr>
        <w:ind w:firstLine="632" w:firstLineChars="200"/>
        <w:rPr>
          <w:bCs/>
          <w:spacing w:val="-2"/>
          <w:sz w:val="32"/>
        </w:rPr>
      </w:pPr>
      <w:r>
        <w:rPr>
          <w:rFonts w:hint="eastAsia"/>
          <w:bCs/>
          <w:spacing w:val="-2"/>
          <w:sz w:val="32"/>
        </w:rPr>
        <w:t>（四）组织复核项目团队成员的工作；</w:t>
      </w:r>
    </w:p>
    <w:p>
      <w:pPr>
        <w:ind w:firstLine="632" w:firstLineChars="200"/>
        <w:rPr>
          <w:bCs/>
          <w:spacing w:val="-2"/>
          <w:sz w:val="32"/>
        </w:rPr>
      </w:pPr>
      <w:r>
        <w:rPr>
          <w:rFonts w:hint="eastAsia"/>
          <w:bCs/>
          <w:spacing w:val="-2"/>
          <w:sz w:val="32"/>
        </w:rPr>
        <w:t>（五）对专家的工作成果进行分析判断，确信其合理性；</w:t>
      </w:r>
    </w:p>
    <w:p>
      <w:pPr>
        <w:ind w:firstLine="632" w:firstLineChars="200"/>
        <w:rPr>
          <w:bCs/>
          <w:spacing w:val="-2"/>
          <w:sz w:val="32"/>
        </w:rPr>
      </w:pPr>
      <w:r>
        <w:rPr>
          <w:rFonts w:hint="eastAsia"/>
          <w:bCs/>
          <w:spacing w:val="-2"/>
          <w:sz w:val="32"/>
        </w:rPr>
        <w:t>（六）组织编制评估报告，并审核相关内容；</w:t>
      </w:r>
    </w:p>
    <w:p>
      <w:pPr>
        <w:ind w:firstLine="632" w:firstLineChars="200"/>
        <w:rPr>
          <w:bCs/>
          <w:spacing w:val="-2"/>
          <w:sz w:val="32"/>
        </w:rPr>
      </w:pPr>
      <w:r>
        <w:rPr>
          <w:rFonts w:hint="eastAsia"/>
          <w:bCs/>
          <w:spacing w:val="-2"/>
          <w:sz w:val="32"/>
        </w:rPr>
        <w:t>（七）组织处理委托方或者委托方许可的相关当事方反馈的意见；</w:t>
      </w:r>
    </w:p>
    <w:p>
      <w:pPr>
        <w:ind w:firstLine="632" w:firstLineChars="200"/>
        <w:rPr>
          <w:bCs/>
          <w:spacing w:val="-2"/>
          <w:sz w:val="32"/>
        </w:rPr>
      </w:pPr>
      <w:r>
        <w:rPr>
          <w:rFonts w:hint="eastAsia"/>
          <w:bCs/>
          <w:spacing w:val="-2"/>
          <w:sz w:val="32"/>
        </w:rPr>
        <w:t>（八）在出具的评估报告上签字盖章；</w:t>
      </w:r>
    </w:p>
    <w:p>
      <w:pPr>
        <w:ind w:firstLine="632" w:firstLineChars="200"/>
        <w:rPr>
          <w:bCs/>
          <w:spacing w:val="-2"/>
          <w:sz w:val="32"/>
        </w:rPr>
      </w:pPr>
      <w:r>
        <w:rPr>
          <w:rFonts w:hint="eastAsia"/>
          <w:bCs/>
          <w:spacing w:val="-2"/>
          <w:sz w:val="32"/>
        </w:rPr>
        <w:t>（九）组织评估业务工作底稿归档。</w:t>
      </w:r>
    </w:p>
    <w:p>
      <w:pPr>
        <w:ind w:firstLine="632" w:firstLineChars="200"/>
        <w:rPr>
          <w:bCs/>
          <w:spacing w:val="-2"/>
          <w:sz w:val="32"/>
        </w:rPr>
      </w:pPr>
      <w:r>
        <w:rPr>
          <w:rFonts w:hint="eastAsia"/>
          <w:bCs/>
          <w:spacing w:val="-2"/>
          <w:sz w:val="32"/>
        </w:rPr>
        <w:t>第九条 项目审核人员是指项目团队以外，具有足够的技术专长和执业经验以及适当的权限，对项目团队工作进行独立、客观审核的人员。项目审核人员承担以下职责：</w:t>
      </w:r>
    </w:p>
    <w:p>
      <w:pPr>
        <w:ind w:firstLine="632" w:firstLineChars="200"/>
        <w:rPr>
          <w:bCs/>
          <w:spacing w:val="-2"/>
          <w:sz w:val="32"/>
        </w:rPr>
      </w:pPr>
      <w:r>
        <w:rPr>
          <w:rFonts w:hint="eastAsia"/>
          <w:bCs/>
          <w:spacing w:val="-2"/>
          <w:sz w:val="32"/>
        </w:rPr>
        <w:t>（一）审核评估程序执行情况；</w:t>
      </w:r>
    </w:p>
    <w:p>
      <w:pPr>
        <w:ind w:firstLine="632" w:firstLineChars="200"/>
        <w:rPr>
          <w:bCs/>
          <w:spacing w:val="-2"/>
          <w:sz w:val="32"/>
        </w:rPr>
      </w:pPr>
      <w:r>
        <w:rPr>
          <w:rFonts w:hint="eastAsia"/>
          <w:bCs/>
          <w:spacing w:val="-2"/>
          <w:sz w:val="32"/>
        </w:rPr>
        <w:t>（二）审核拟出具的评估报告；</w:t>
      </w:r>
    </w:p>
    <w:p>
      <w:pPr>
        <w:ind w:firstLine="632" w:firstLineChars="200"/>
        <w:rPr>
          <w:bCs/>
          <w:spacing w:val="-2"/>
          <w:sz w:val="32"/>
        </w:rPr>
      </w:pPr>
      <w:r>
        <w:rPr>
          <w:rFonts w:hint="eastAsia"/>
          <w:bCs/>
          <w:spacing w:val="-2"/>
          <w:sz w:val="32"/>
        </w:rPr>
        <w:t>（三）审核工作底稿；</w:t>
      </w:r>
    </w:p>
    <w:p>
      <w:pPr>
        <w:ind w:firstLine="632" w:firstLineChars="200"/>
        <w:rPr>
          <w:bCs/>
          <w:spacing w:val="-2"/>
          <w:sz w:val="32"/>
        </w:rPr>
      </w:pPr>
      <w:r>
        <w:rPr>
          <w:rFonts w:hint="eastAsia"/>
          <w:bCs/>
          <w:spacing w:val="-2"/>
          <w:sz w:val="32"/>
        </w:rPr>
        <w:t>（四）综合评价项目风险，提出出具评估报告的明确意见。</w:t>
      </w:r>
    </w:p>
    <w:p>
      <w:pPr>
        <w:ind w:firstLine="632" w:firstLineChars="200"/>
        <w:rPr>
          <w:bCs/>
          <w:spacing w:val="-2"/>
          <w:sz w:val="32"/>
        </w:rPr>
      </w:pPr>
      <w:r>
        <w:rPr>
          <w:rFonts w:hint="eastAsia"/>
          <w:bCs/>
          <w:spacing w:val="-2"/>
          <w:sz w:val="32"/>
        </w:rPr>
        <w:t>第十条 项目团队是指中小评估机构组建的为执行某项评估业务的一组人，项目团队由项目负责人管理。项目团队成员一般包括承担或者参与评估业务工作的资产评估师、业务助理人员。项目团队成员承担以下职责：</w:t>
      </w:r>
    </w:p>
    <w:p>
      <w:pPr>
        <w:ind w:firstLine="632" w:firstLineChars="200"/>
        <w:rPr>
          <w:bCs/>
          <w:spacing w:val="-2"/>
          <w:sz w:val="32"/>
        </w:rPr>
      </w:pPr>
      <w:r>
        <w:rPr>
          <w:rFonts w:hint="eastAsia"/>
          <w:bCs/>
          <w:spacing w:val="-2"/>
          <w:sz w:val="32"/>
        </w:rPr>
        <w:t>（一）接受项目负责人的管理，了解拟执行工作的目标，理解项目负责人的工作指令；</w:t>
      </w:r>
    </w:p>
    <w:p>
      <w:pPr>
        <w:ind w:firstLine="632" w:firstLineChars="200"/>
        <w:rPr>
          <w:bCs/>
          <w:spacing w:val="-2"/>
          <w:sz w:val="32"/>
        </w:rPr>
      </w:pPr>
      <w:r>
        <w:rPr>
          <w:rFonts w:hint="eastAsia"/>
          <w:bCs/>
          <w:spacing w:val="-2"/>
          <w:sz w:val="32"/>
        </w:rPr>
        <w:t>（二）按照评估机构质量控制制度和程序的要求从事具体评估业务工作，形成工作底稿；</w:t>
      </w:r>
    </w:p>
    <w:p>
      <w:pPr>
        <w:ind w:firstLine="632" w:firstLineChars="200"/>
        <w:rPr>
          <w:bCs/>
          <w:spacing w:val="-2"/>
          <w:sz w:val="32"/>
        </w:rPr>
      </w:pPr>
      <w:r>
        <w:rPr>
          <w:rFonts w:hint="eastAsia"/>
          <w:bCs/>
          <w:spacing w:val="-2"/>
          <w:sz w:val="32"/>
        </w:rPr>
        <w:t>（三）汇报执行业务过程中发现的重大问题；</w:t>
      </w:r>
    </w:p>
    <w:p>
      <w:pPr>
        <w:ind w:firstLine="632" w:firstLineChars="200"/>
        <w:rPr>
          <w:bCs/>
          <w:spacing w:val="-2"/>
          <w:sz w:val="32"/>
        </w:rPr>
      </w:pPr>
      <w:r>
        <w:rPr>
          <w:rFonts w:hint="eastAsia"/>
          <w:bCs/>
          <w:spacing w:val="-2"/>
          <w:sz w:val="32"/>
        </w:rPr>
        <w:t>（四）复核已经完成的工作底稿并接受审核。</w:t>
      </w:r>
    </w:p>
    <w:p>
      <w:pPr>
        <w:ind w:firstLine="632" w:firstLineChars="200"/>
        <w:rPr>
          <w:bCs/>
          <w:spacing w:val="-2"/>
          <w:sz w:val="32"/>
        </w:rPr>
      </w:pPr>
      <w:r>
        <w:rPr>
          <w:rFonts w:hint="eastAsia"/>
          <w:bCs/>
          <w:spacing w:val="-2"/>
          <w:sz w:val="32"/>
        </w:rPr>
        <w:t>第十一条 中小评估机构应当明确其他人员与质量控制相关的职责，该类人员通常包括：</w:t>
      </w:r>
    </w:p>
    <w:p>
      <w:pPr>
        <w:ind w:firstLine="632" w:firstLineChars="200"/>
        <w:rPr>
          <w:bCs/>
          <w:spacing w:val="-2"/>
          <w:sz w:val="32"/>
        </w:rPr>
      </w:pPr>
      <w:r>
        <w:rPr>
          <w:rFonts w:hint="eastAsia"/>
          <w:bCs/>
          <w:spacing w:val="-2"/>
          <w:sz w:val="32"/>
        </w:rPr>
        <w:t>（一）业务洽谈人员；</w:t>
      </w:r>
    </w:p>
    <w:p>
      <w:pPr>
        <w:ind w:firstLine="632" w:firstLineChars="200"/>
        <w:rPr>
          <w:bCs/>
          <w:spacing w:val="-2"/>
          <w:sz w:val="32"/>
        </w:rPr>
      </w:pPr>
      <w:r>
        <w:rPr>
          <w:rFonts w:hint="eastAsia"/>
          <w:bCs/>
          <w:spacing w:val="-2"/>
          <w:sz w:val="32"/>
        </w:rPr>
        <w:t>（二）业务部门负责人；</w:t>
      </w:r>
    </w:p>
    <w:p>
      <w:pPr>
        <w:ind w:firstLine="632" w:firstLineChars="200"/>
        <w:rPr>
          <w:bCs/>
          <w:spacing w:val="-2"/>
          <w:sz w:val="32"/>
        </w:rPr>
      </w:pPr>
      <w:r>
        <w:rPr>
          <w:rFonts w:hint="eastAsia"/>
          <w:bCs/>
          <w:spacing w:val="-2"/>
          <w:sz w:val="32"/>
        </w:rPr>
        <w:t>（三）人力资源管理人员；</w:t>
      </w:r>
    </w:p>
    <w:p>
      <w:pPr>
        <w:ind w:firstLine="632" w:firstLineChars="200"/>
        <w:rPr>
          <w:bCs/>
          <w:spacing w:val="-2"/>
          <w:sz w:val="32"/>
        </w:rPr>
      </w:pPr>
      <w:r>
        <w:rPr>
          <w:rFonts w:hint="eastAsia"/>
          <w:bCs/>
          <w:spacing w:val="-2"/>
          <w:sz w:val="32"/>
        </w:rPr>
        <w:t>（四）信息管理人员；</w:t>
      </w:r>
    </w:p>
    <w:p>
      <w:pPr>
        <w:ind w:firstLine="632" w:firstLineChars="200"/>
        <w:rPr>
          <w:bCs/>
          <w:spacing w:val="-2"/>
          <w:sz w:val="32"/>
        </w:rPr>
      </w:pPr>
      <w:r>
        <w:rPr>
          <w:rFonts w:hint="eastAsia"/>
          <w:bCs/>
          <w:spacing w:val="-2"/>
          <w:sz w:val="32"/>
        </w:rPr>
        <w:t>（五）档案管理人员；</w:t>
      </w:r>
    </w:p>
    <w:p>
      <w:pPr>
        <w:ind w:firstLine="632" w:firstLineChars="200"/>
        <w:rPr>
          <w:bCs/>
          <w:spacing w:val="-2"/>
          <w:sz w:val="32"/>
        </w:rPr>
      </w:pPr>
      <w:r>
        <w:rPr>
          <w:rFonts w:hint="eastAsia"/>
          <w:bCs/>
          <w:spacing w:val="-2"/>
          <w:sz w:val="32"/>
        </w:rPr>
        <w:t>（六）文秘人员。</w:t>
      </w:r>
      <w:bookmarkStart w:id="2" w:name="_Toc332433908"/>
    </w:p>
    <w:p>
      <w:pPr>
        <w:widowControl w:val="0"/>
        <w:wordWrap/>
        <w:autoSpaceDE w:val="0"/>
        <w:autoSpaceDN w:val="0"/>
        <w:adjustRightInd w:val="0"/>
        <w:snapToGrid w:val="0"/>
        <w:spacing w:before="157" w:beforeLines="50" w:after="157" w:afterLines="50" w:line="588" w:lineRule="atLeast"/>
        <w:ind w:left="0" w:leftChars="0" w:right="0" w:firstLine="0" w:firstLineChars="0"/>
        <w:jc w:val="center"/>
        <w:textAlignment w:val="auto"/>
        <w:outlineLvl w:val="9"/>
        <w:rPr>
          <w:rFonts w:hint="eastAsia" w:ascii="仿宋_GB2312" w:hAnsi="仿宋_GB2312" w:eastAsia="仿宋_GB2312" w:cs="仿宋_GB2312"/>
          <w:b/>
          <w:bCs/>
          <w:spacing w:val="-2"/>
          <w:sz w:val="32"/>
        </w:rPr>
      </w:pPr>
      <w:r>
        <w:rPr>
          <w:rFonts w:hint="eastAsia" w:ascii="仿宋_GB2312" w:hAnsi="仿宋_GB2312" w:eastAsia="仿宋_GB2312" w:cs="仿宋_GB2312"/>
          <w:b/>
          <w:bCs/>
          <w:spacing w:val="-2"/>
          <w:sz w:val="32"/>
        </w:rPr>
        <w:t>第三章  职业道德</w:t>
      </w:r>
      <w:bookmarkEnd w:id="2"/>
    </w:p>
    <w:p>
      <w:pPr>
        <w:ind w:firstLine="632" w:firstLineChars="200"/>
        <w:rPr>
          <w:bCs/>
          <w:spacing w:val="-2"/>
          <w:sz w:val="32"/>
        </w:rPr>
      </w:pPr>
      <w:r>
        <w:rPr>
          <w:rFonts w:hint="eastAsia"/>
          <w:bCs/>
          <w:spacing w:val="-2"/>
          <w:sz w:val="32"/>
        </w:rPr>
        <w:t>第十二条 中小评估机构应当制定制度和程序，并采取相应措施，以确保全体人员遵守《资产评估职业道德准则</w:t>
      </w:r>
      <w:r>
        <w:rPr>
          <w:rFonts w:hint="eastAsia"/>
          <w:bCs/>
          <w:spacing w:val="-40"/>
          <w:sz w:val="32"/>
        </w:rPr>
        <w:t>—</w:t>
      </w:r>
      <w:r>
        <w:rPr>
          <w:rFonts w:hint="eastAsia"/>
          <w:bCs/>
          <w:spacing w:val="-2"/>
          <w:sz w:val="32"/>
        </w:rPr>
        <w:t>—基本准则》及相关资产评估准则。</w:t>
      </w:r>
    </w:p>
    <w:p>
      <w:pPr>
        <w:ind w:firstLine="632" w:firstLineChars="200"/>
        <w:rPr>
          <w:bCs/>
          <w:spacing w:val="-2"/>
          <w:sz w:val="32"/>
        </w:rPr>
      </w:pPr>
      <w:r>
        <w:rPr>
          <w:rFonts w:hint="eastAsia"/>
          <w:bCs/>
          <w:spacing w:val="-2"/>
          <w:sz w:val="32"/>
        </w:rPr>
        <w:t>第十三条 中小评估机构管理层应当遵守《资产评估职业道德准则</w:t>
      </w:r>
      <w:r>
        <w:rPr>
          <w:rFonts w:hint="eastAsia"/>
          <w:bCs/>
          <w:spacing w:val="-40"/>
          <w:sz w:val="32"/>
        </w:rPr>
        <w:t>—</w:t>
      </w:r>
      <w:r>
        <w:rPr>
          <w:rFonts w:hint="eastAsia"/>
          <w:bCs/>
          <w:spacing w:val="-2"/>
          <w:sz w:val="32"/>
        </w:rPr>
        <w:t>—基本准则》及相关资产评估准则，通过行为示范在评估机构内部形成重视职业道德的氛围。</w:t>
      </w:r>
    </w:p>
    <w:p>
      <w:pPr>
        <w:ind w:firstLine="632" w:firstLineChars="200"/>
        <w:rPr>
          <w:bCs/>
          <w:spacing w:val="-2"/>
          <w:sz w:val="32"/>
        </w:rPr>
      </w:pPr>
      <w:r>
        <w:rPr>
          <w:rFonts w:hint="eastAsia"/>
          <w:bCs/>
          <w:spacing w:val="-2"/>
          <w:sz w:val="32"/>
        </w:rPr>
        <w:t>第十四条 中小评估机构应当对全体人员提出遵守职业道德的具体要求。</w:t>
      </w:r>
    </w:p>
    <w:p>
      <w:pPr>
        <w:ind w:firstLine="632" w:firstLineChars="200"/>
        <w:rPr>
          <w:bCs/>
          <w:spacing w:val="-2"/>
          <w:sz w:val="32"/>
        </w:rPr>
      </w:pPr>
      <w:r>
        <w:rPr>
          <w:rFonts w:hint="eastAsia"/>
          <w:bCs/>
          <w:spacing w:val="-2"/>
          <w:sz w:val="32"/>
        </w:rPr>
        <w:t>第十五条 中小评估机构应当通过专门教育和培训，确保资产评估师和相关人员具备相应的专业知识和经验，保持应有的专业胜任能力。</w:t>
      </w:r>
    </w:p>
    <w:p>
      <w:pPr>
        <w:ind w:firstLine="632" w:firstLineChars="200"/>
        <w:rPr>
          <w:bCs/>
          <w:spacing w:val="-2"/>
          <w:sz w:val="32"/>
        </w:rPr>
      </w:pPr>
      <w:r>
        <w:rPr>
          <w:rFonts w:hint="eastAsia"/>
          <w:bCs/>
          <w:spacing w:val="-2"/>
          <w:sz w:val="32"/>
        </w:rPr>
        <w:t>第十六条 中小评估机构应当要求评估人员在签订劳动合同的同时签署遵守职业道德规范承诺函，并且每年对评估人员所签署的职业道德规范承诺函的遵守情况进行全面检查。</w:t>
      </w:r>
    </w:p>
    <w:p>
      <w:pPr>
        <w:ind w:firstLine="632" w:firstLineChars="200"/>
        <w:rPr>
          <w:spacing w:val="-2"/>
          <w:sz w:val="32"/>
        </w:rPr>
      </w:pPr>
      <w:r>
        <w:rPr>
          <w:rFonts w:hint="eastAsia"/>
          <w:spacing w:val="-2"/>
          <w:sz w:val="32"/>
        </w:rPr>
        <w:t>第十七条 中小</w:t>
      </w:r>
      <w:r>
        <w:rPr>
          <w:rFonts w:hint="eastAsia"/>
          <w:bCs/>
          <w:spacing w:val="-2"/>
          <w:sz w:val="32"/>
        </w:rPr>
        <w:t>评估机构应当保持必要的职业审慎态度，识别可能影响独立性的情形，合理判断其对独立性的影响，采取恰当措施保证独立性贯穿评估程序始终。</w:t>
      </w:r>
    </w:p>
    <w:p>
      <w:pPr>
        <w:ind w:firstLine="632" w:firstLineChars="200"/>
        <w:rPr>
          <w:bCs/>
          <w:spacing w:val="-2"/>
          <w:sz w:val="32"/>
        </w:rPr>
      </w:pPr>
      <w:r>
        <w:rPr>
          <w:rFonts w:hint="eastAsia"/>
          <w:bCs/>
          <w:spacing w:val="-2"/>
          <w:sz w:val="32"/>
        </w:rPr>
        <w:t>第十八条 中小评估机构执业人员和其他相关人员对国家秘密、委托方和相关当事方的商业秘密、所在机构的商业秘密负有保密义务。除下列人员和机构可以依法从评估机构获取和保留国家秘密及商业秘密外，不得向他人泄露在执业过程中获得的不应当公开的信息以及评估结论：</w:t>
      </w:r>
    </w:p>
    <w:p>
      <w:pPr>
        <w:ind w:firstLine="632" w:firstLineChars="200"/>
        <w:rPr>
          <w:bCs/>
          <w:spacing w:val="-2"/>
          <w:sz w:val="32"/>
        </w:rPr>
      </w:pPr>
      <w:r>
        <w:rPr>
          <w:rFonts w:hint="eastAsia"/>
          <w:bCs/>
          <w:spacing w:val="-2"/>
          <w:sz w:val="32"/>
        </w:rPr>
        <w:t>（一）委托方或者由委托方书面许可的人；</w:t>
      </w:r>
    </w:p>
    <w:p>
      <w:pPr>
        <w:ind w:firstLine="632" w:firstLineChars="200"/>
        <w:rPr>
          <w:bCs/>
          <w:spacing w:val="-2"/>
          <w:sz w:val="32"/>
        </w:rPr>
      </w:pPr>
      <w:r>
        <w:rPr>
          <w:rFonts w:hint="eastAsia"/>
          <w:bCs/>
          <w:spacing w:val="-2"/>
          <w:sz w:val="32"/>
        </w:rPr>
        <w:t>（二）法律、行政法规允许的第三方；</w:t>
      </w:r>
    </w:p>
    <w:p>
      <w:pPr>
        <w:ind w:firstLine="632" w:firstLineChars="200"/>
        <w:rPr>
          <w:bCs/>
          <w:spacing w:val="-2"/>
          <w:sz w:val="32"/>
        </w:rPr>
      </w:pPr>
      <w:r>
        <w:rPr>
          <w:rFonts w:hint="eastAsia"/>
          <w:bCs/>
          <w:spacing w:val="-2"/>
          <w:sz w:val="32"/>
        </w:rPr>
        <w:t>（三）具有管辖权的监管机构、行业协会。</w:t>
      </w:r>
    </w:p>
    <w:p>
      <w:pPr>
        <w:ind w:firstLine="632" w:firstLineChars="200"/>
        <w:rPr>
          <w:spacing w:val="-2"/>
          <w:sz w:val="32"/>
        </w:rPr>
      </w:pPr>
      <w:r>
        <w:rPr>
          <w:rFonts w:hint="eastAsia"/>
          <w:spacing w:val="-2"/>
          <w:sz w:val="32"/>
        </w:rPr>
        <w:t>执业人员和其他相关人员在为委托方和相关当事方服务结束或者离开所在评估机构后，应当按照有关规定或者合同约定承担保密义务。</w:t>
      </w:r>
      <w:bookmarkStart w:id="3" w:name="_Toc332433909"/>
    </w:p>
    <w:p>
      <w:pPr>
        <w:ind w:firstLine="632" w:firstLineChars="200"/>
        <w:rPr>
          <w:spacing w:val="-2"/>
          <w:sz w:val="32"/>
        </w:rPr>
      </w:pPr>
      <w:r>
        <w:rPr>
          <w:rFonts w:hint="eastAsia"/>
          <w:bCs/>
          <w:spacing w:val="-2"/>
          <w:sz w:val="32"/>
        </w:rPr>
        <w:t>第十九条 中小评估机构应当对违反职业道德要求的员工进行处理并记录处理结果。</w:t>
      </w:r>
    </w:p>
    <w:p>
      <w:pPr>
        <w:widowControl w:val="0"/>
        <w:wordWrap/>
        <w:autoSpaceDE w:val="0"/>
        <w:autoSpaceDN w:val="0"/>
        <w:adjustRightInd w:val="0"/>
        <w:snapToGrid w:val="0"/>
        <w:spacing w:before="157" w:beforeLines="50" w:after="157" w:afterLines="50" w:line="588" w:lineRule="atLeast"/>
        <w:ind w:left="0" w:leftChars="0" w:right="0" w:firstLine="0" w:firstLineChars="0"/>
        <w:jc w:val="center"/>
        <w:textAlignment w:val="auto"/>
        <w:outlineLvl w:val="9"/>
        <w:rPr>
          <w:rFonts w:hint="eastAsia" w:ascii="仿宋_GB2312" w:hAnsi="仿宋_GB2312" w:eastAsia="仿宋_GB2312" w:cs="仿宋_GB2312"/>
          <w:b/>
          <w:bCs/>
          <w:spacing w:val="-2"/>
          <w:sz w:val="32"/>
        </w:rPr>
      </w:pPr>
      <w:r>
        <w:rPr>
          <w:rFonts w:hint="eastAsia" w:ascii="仿宋_GB2312" w:hAnsi="仿宋_GB2312" w:eastAsia="仿宋_GB2312" w:cs="仿宋_GB2312"/>
          <w:b/>
          <w:bCs/>
          <w:spacing w:val="-2"/>
          <w:sz w:val="32"/>
        </w:rPr>
        <w:t>第四章  人力资源</w:t>
      </w:r>
      <w:bookmarkEnd w:id="3"/>
    </w:p>
    <w:p>
      <w:pPr>
        <w:ind w:firstLine="632" w:firstLineChars="200"/>
        <w:rPr>
          <w:bCs/>
          <w:spacing w:val="-2"/>
          <w:sz w:val="32"/>
        </w:rPr>
      </w:pPr>
      <w:r>
        <w:rPr>
          <w:rFonts w:hint="eastAsia"/>
          <w:bCs/>
          <w:spacing w:val="-2"/>
          <w:sz w:val="32"/>
        </w:rPr>
        <w:t>第二十条 中小评估机构应当合理配置必需的人力资源，并根据业务的变化，对人力资源进行调整和更新。</w:t>
      </w:r>
    </w:p>
    <w:p>
      <w:pPr>
        <w:ind w:firstLine="632" w:firstLineChars="200"/>
        <w:rPr>
          <w:bCs/>
          <w:spacing w:val="-2"/>
          <w:sz w:val="32"/>
        </w:rPr>
      </w:pPr>
      <w:r>
        <w:rPr>
          <w:rFonts w:hint="eastAsia"/>
          <w:bCs/>
          <w:spacing w:val="-2"/>
          <w:sz w:val="32"/>
        </w:rPr>
        <w:t>第二十一条 中小评估机构应当明确各岗位职责和任职要求，制定并不断完善员工招聘制度、培训制度、绩效考评制度、薪酬及晋升制度。</w:t>
      </w:r>
    </w:p>
    <w:p>
      <w:pPr>
        <w:ind w:firstLine="632" w:firstLineChars="200"/>
        <w:rPr>
          <w:bCs/>
          <w:spacing w:val="-2"/>
          <w:sz w:val="32"/>
        </w:rPr>
      </w:pPr>
      <w:r>
        <w:rPr>
          <w:rFonts w:hint="eastAsia"/>
          <w:bCs/>
          <w:spacing w:val="-2"/>
          <w:sz w:val="32"/>
        </w:rPr>
        <w:t>（一）中小评估机构应当制定适宜的招聘制度，根据自身及业务发展的实际需要，招聘具备执行业务所需的专业胜任能力的人员。中小评估机构按照所需岗位的职位描述对应聘人员进行初步筛选，从专业胜任能力方面对应聘者进行评价，形成综合评价意见。</w:t>
      </w:r>
    </w:p>
    <w:p>
      <w:pPr>
        <w:ind w:firstLine="632" w:firstLineChars="200"/>
        <w:rPr>
          <w:bCs/>
          <w:spacing w:val="-2"/>
          <w:sz w:val="32"/>
        </w:rPr>
      </w:pPr>
      <w:r>
        <w:rPr>
          <w:rFonts w:hint="eastAsia"/>
          <w:bCs/>
          <w:spacing w:val="-2"/>
          <w:sz w:val="32"/>
        </w:rPr>
        <w:t>（二）中小评估机构应当根据自身业务特点建立和完善员工培训制度，确保各级业务人员及时熟悉并掌握相关法律法规和评估准则，更新和提高专业知识，保持和完善专业技能，不断提高专业胜任能力。培训制度应当包括以下内容：</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1.员工培训计划；</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2.参加并完成资产评估行业协会、相关管理部门要求的继续教育；</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3.举办内部培训；</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4.书面记录各级评估人员参加培训情况，定期检查、评价培训的内容和效果。</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（三）中小评估机构根据自身发展目标的需求，建立和完善员工绩效考评制度，优化人力资源结构，提升员工的满意程度和未来期望。绩效考评制度通常包括以下内容：</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1.每年至少进行一次员工绩效考评。绩效考评按不同职务级别、不同岗位进行；</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2.绩效考评可以采取上级评价下级、集体无记名打分等评价方式，对员工年度内的工作态度、工作能力、工作成绩、综合能力及素质进行综合性评价；</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3.绩效考评结果与薪酬调整、职级升降和续聘辞退挂钩。</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（四）中小评估机构应当本着责任与报酬相配比，风险与补偿相对应，考核与激励相结合，绩效与奖惩相挂钩的原则，建立和完善员工薪酬制度。</w:t>
      </w:r>
    </w:p>
    <w:p>
      <w:pPr>
        <w:ind w:firstLine="632" w:firstLineChars="200"/>
        <w:rPr>
          <w:bCs/>
          <w:spacing w:val="-2"/>
          <w:sz w:val="32"/>
        </w:rPr>
      </w:pPr>
      <w:r>
        <w:rPr>
          <w:rFonts w:hint="eastAsia"/>
          <w:bCs/>
          <w:spacing w:val="-2"/>
          <w:sz w:val="32"/>
        </w:rPr>
        <w:t>第二十二条 中小评估机构在制定组建项目团队的制度和程序时，应当要求项目团队成员具备下列条件：</w:t>
      </w:r>
    </w:p>
    <w:p>
      <w:pPr>
        <w:ind w:firstLine="632" w:firstLineChars="200"/>
        <w:rPr>
          <w:bCs/>
          <w:spacing w:val="-2"/>
          <w:sz w:val="32"/>
        </w:rPr>
      </w:pPr>
      <w:r>
        <w:rPr>
          <w:rFonts w:hint="eastAsia"/>
          <w:bCs/>
          <w:spacing w:val="-2"/>
          <w:sz w:val="32"/>
        </w:rPr>
        <w:t>（一）必要的职业道德，能够保持独立性；</w:t>
      </w:r>
    </w:p>
    <w:p>
      <w:pPr>
        <w:ind w:firstLine="632" w:firstLineChars="200"/>
        <w:rPr>
          <w:bCs/>
          <w:spacing w:val="-2"/>
          <w:sz w:val="32"/>
        </w:rPr>
      </w:pPr>
      <w:r>
        <w:rPr>
          <w:rFonts w:hint="eastAsia"/>
          <w:bCs/>
          <w:spacing w:val="-2"/>
          <w:sz w:val="32"/>
        </w:rPr>
        <w:t>（二）必要的专业知识、执业能力、专业经验；</w:t>
      </w:r>
    </w:p>
    <w:p>
      <w:pPr>
        <w:ind w:firstLine="632" w:firstLineChars="200"/>
        <w:rPr>
          <w:bCs/>
          <w:spacing w:val="-2"/>
          <w:sz w:val="32"/>
        </w:rPr>
      </w:pPr>
      <w:r>
        <w:rPr>
          <w:rFonts w:hint="eastAsia"/>
          <w:bCs/>
          <w:spacing w:val="-2"/>
          <w:sz w:val="32"/>
        </w:rPr>
        <w:t>（三）遵守评估机构业务质量控制制度和程序的意识。</w:t>
      </w:r>
    </w:p>
    <w:p>
      <w:pPr>
        <w:ind w:firstLine="632" w:firstLineChars="200"/>
        <w:rPr>
          <w:spacing w:val="-2"/>
          <w:sz w:val="32"/>
        </w:rPr>
      </w:pPr>
      <w:r>
        <w:rPr>
          <w:rFonts w:hint="eastAsia"/>
          <w:bCs/>
          <w:spacing w:val="-2"/>
          <w:sz w:val="32"/>
        </w:rPr>
        <w:t>第二十三条 中小评估机构应当结合自身情况，建立健全聘请专家和外部人员协助工作的制度和程序，以确信专家和外部人员工作的合理性。</w:t>
      </w:r>
      <w:bookmarkStart w:id="4" w:name="_Toc332433910"/>
    </w:p>
    <w:p>
      <w:pPr>
        <w:widowControl w:val="0"/>
        <w:wordWrap/>
        <w:autoSpaceDE w:val="0"/>
        <w:autoSpaceDN w:val="0"/>
        <w:adjustRightInd w:val="0"/>
        <w:snapToGrid w:val="0"/>
        <w:spacing w:before="157" w:beforeLines="50" w:after="157" w:afterLines="50" w:line="588" w:lineRule="atLeast"/>
        <w:ind w:left="0" w:leftChars="0" w:right="0" w:firstLine="0" w:firstLineChars="0"/>
        <w:jc w:val="center"/>
        <w:textAlignment w:val="auto"/>
        <w:outlineLvl w:val="9"/>
        <w:rPr>
          <w:rFonts w:hint="eastAsia" w:ascii="仿宋_GB2312" w:hAnsi="仿宋_GB2312" w:eastAsia="仿宋_GB2312" w:cs="仿宋_GB2312"/>
          <w:b/>
          <w:bCs/>
          <w:spacing w:val="-2"/>
          <w:sz w:val="32"/>
        </w:rPr>
      </w:pPr>
      <w:r>
        <w:rPr>
          <w:rFonts w:hint="eastAsia" w:ascii="仿宋_GB2312" w:hAnsi="仿宋_GB2312" w:eastAsia="仿宋_GB2312" w:cs="仿宋_GB2312"/>
          <w:b/>
          <w:bCs/>
          <w:spacing w:val="-2"/>
          <w:sz w:val="32"/>
        </w:rPr>
        <w:t>第五章  评估业务承接</w:t>
      </w:r>
      <w:bookmarkEnd w:id="4"/>
    </w:p>
    <w:p>
      <w:pPr>
        <w:ind w:firstLine="632" w:firstLineChars="200"/>
        <w:rPr>
          <w:bCs/>
          <w:spacing w:val="-2"/>
          <w:sz w:val="32"/>
        </w:rPr>
      </w:pPr>
      <w:r>
        <w:rPr>
          <w:rFonts w:hint="eastAsia"/>
          <w:bCs/>
          <w:spacing w:val="-2"/>
          <w:sz w:val="32"/>
        </w:rPr>
        <w:t>第二十四条 中小评估机构应当根据自身特点谨慎地选择客户和业务，在业务承接环节应当考虑以下方面：</w:t>
      </w:r>
    </w:p>
    <w:p>
      <w:pPr>
        <w:ind w:firstLine="632" w:firstLineChars="200"/>
        <w:rPr>
          <w:bCs/>
          <w:spacing w:val="-2"/>
          <w:sz w:val="32"/>
        </w:rPr>
      </w:pPr>
      <w:r>
        <w:rPr>
          <w:rFonts w:hint="eastAsia"/>
          <w:bCs/>
          <w:spacing w:val="-2"/>
          <w:sz w:val="32"/>
        </w:rPr>
        <w:t>（一）评估业务的基本事项、委托方的要求、被评估单位（产权持有单位）的情况；</w:t>
      </w:r>
    </w:p>
    <w:p>
      <w:pPr>
        <w:ind w:firstLine="632" w:firstLineChars="200"/>
        <w:rPr>
          <w:bCs/>
          <w:spacing w:val="-2"/>
          <w:sz w:val="32"/>
        </w:rPr>
      </w:pPr>
      <w:r>
        <w:rPr>
          <w:rFonts w:hint="eastAsia"/>
          <w:bCs/>
          <w:spacing w:val="-2"/>
          <w:sz w:val="32"/>
        </w:rPr>
        <w:t>（二）具有执行该项业务的专业胜任能力、时间和资源；</w:t>
      </w:r>
    </w:p>
    <w:p>
      <w:pPr>
        <w:ind w:firstLine="632" w:firstLineChars="200"/>
        <w:rPr>
          <w:bCs/>
          <w:spacing w:val="-2"/>
          <w:sz w:val="32"/>
        </w:rPr>
      </w:pPr>
      <w:r>
        <w:rPr>
          <w:rFonts w:hint="eastAsia"/>
          <w:bCs/>
          <w:spacing w:val="-2"/>
          <w:sz w:val="32"/>
        </w:rPr>
        <w:t>（三）能够遵守职业道德，与委托方或者相关当事方不存在可能影响独立性的情形；</w:t>
      </w:r>
    </w:p>
    <w:p>
      <w:pPr>
        <w:ind w:firstLine="632" w:firstLineChars="200"/>
        <w:rPr>
          <w:bCs/>
          <w:spacing w:val="-2"/>
          <w:sz w:val="32"/>
        </w:rPr>
      </w:pPr>
      <w:r>
        <w:rPr>
          <w:rFonts w:hint="eastAsia"/>
          <w:bCs/>
          <w:spacing w:val="-2"/>
          <w:sz w:val="32"/>
        </w:rPr>
        <w:t>（四）对委托业务风险进行评价，该项业务的承接不会给评估机构带来不可控制的风险；</w:t>
      </w:r>
    </w:p>
    <w:p>
      <w:pPr>
        <w:ind w:firstLine="632" w:firstLineChars="200"/>
        <w:rPr>
          <w:bCs/>
          <w:spacing w:val="-2"/>
          <w:sz w:val="32"/>
        </w:rPr>
      </w:pPr>
      <w:r>
        <w:rPr>
          <w:rFonts w:hint="eastAsia"/>
          <w:bCs/>
          <w:spacing w:val="-2"/>
          <w:sz w:val="32"/>
        </w:rPr>
        <w:t>（五）考虑工作量，预计项目成本，合理确定项目收费。</w:t>
      </w:r>
    </w:p>
    <w:p>
      <w:pPr>
        <w:ind w:firstLine="632" w:firstLineChars="200"/>
        <w:rPr>
          <w:bCs/>
          <w:spacing w:val="-2"/>
          <w:sz w:val="32"/>
        </w:rPr>
      </w:pPr>
      <w:r>
        <w:rPr>
          <w:rFonts w:hint="eastAsia"/>
          <w:bCs/>
          <w:spacing w:val="-2"/>
          <w:sz w:val="32"/>
        </w:rPr>
        <w:t>第二十五条 业务洽谈人员对评估业务进行初步评价，可以接受的评估业务，报法定代表人（或者首席合伙人）批准；当评估业务存在较大风险时，业务洽谈人员提请首席评估师处理；首席评估师不能解决的，应当向最高管理层报告，最高管理层认为有必要时，中小评估机构应当召开由法定代表人（或者首席合伙人）主持，首席评估师、业务洽谈人员、拟委派的项目负责人、签字资产评估师和项目审核人员等参加的会议，决定是否承接。会议应当形成记录并归档。</w:t>
      </w:r>
    </w:p>
    <w:p>
      <w:pPr>
        <w:ind w:firstLine="632" w:firstLineChars="200"/>
        <w:rPr>
          <w:bCs/>
          <w:spacing w:val="-2"/>
          <w:sz w:val="32"/>
        </w:rPr>
      </w:pPr>
      <w:r>
        <w:rPr>
          <w:rFonts w:hint="eastAsia"/>
          <w:bCs/>
          <w:spacing w:val="-2"/>
          <w:sz w:val="32"/>
        </w:rPr>
        <w:t>第二十六条 项目负责人在获知可能存在风险的情形或者变更、中止、终止业务约定书的信息时，应当提请首席评估师处理；首席评估师不能解决的，应当报最高管理层；最高管理层认为必要时，召开由法定代表人（或者首席合伙人）主持，首席评估师、业务洽谈人员、项目负责人、签字资产评估师和项目审核人员等参加的会议，决定是否变更、中止、终止该项业务约定书。会议应当形成记录并归档。</w:t>
      </w:r>
    </w:p>
    <w:p>
      <w:pPr>
        <w:ind w:firstLine="632" w:firstLineChars="200"/>
        <w:rPr>
          <w:spacing w:val="-2"/>
          <w:sz w:val="32"/>
        </w:rPr>
      </w:pPr>
      <w:r>
        <w:rPr>
          <w:rFonts w:hint="eastAsia"/>
          <w:spacing w:val="-2"/>
          <w:sz w:val="32"/>
        </w:rPr>
        <w:t>第二十七条 如果</w:t>
      </w:r>
      <w:r>
        <w:rPr>
          <w:rFonts w:hint="eastAsia"/>
          <w:bCs/>
          <w:spacing w:val="-2"/>
          <w:sz w:val="32"/>
        </w:rPr>
        <w:t>变更、中止、终止该项业务</w:t>
      </w:r>
      <w:r>
        <w:rPr>
          <w:rFonts w:hint="eastAsia"/>
          <w:spacing w:val="-2"/>
          <w:sz w:val="32"/>
        </w:rPr>
        <w:t>，中小评估机构的相关人员应当就拟采取的行动及原因与客户进行沟通。</w:t>
      </w:r>
    </w:p>
    <w:p>
      <w:pPr>
        <w:widowControl w:val="0"/>
        <w:wordWrap/>
        <w:autoSpaceDE w:val="0"/>
        <w:autoSpaceDN w:val="0"/>
        <w:adjustRightInd w:val="0"/>
        <w:snapToGrid w:val="0"/>
        <w:spacing w:before="157" w:beforeLines="50" w:after="157" w:afterLines="50" w:line="588" w:lineRule="atLeast"/>
        <w:ind w:left="0" w:leftChars="0" w:right="0" w:firstLine="0" w:firstLineChars="0"/>
        <w:jc w:val="center"/>
        <w:textAlignment w:val="auto"/>
        <w:outlineLvl w:val="9"/>
        <w:rPr>
          <w:rFonts w:hint="eastAsia" w:ascii="仿宋_GB2312" w:hAnsi="仿宋_GB2312" w:eastAsia="仿宋_GB2312" w:cs="仿宋_GB2312"/>
          <w:b/>
          <w:bCs/>
          <w:spacing w:val="-2"/>
          <w:sz w:val="32"/>
        </w:rPr>
      </w:pPr>
      <w:bookmarkStart w:id="5" w:name="_Toc332433911"/>
      <w:r>
        <w:rPr>
          <w:rFonts w:hint="eastAsia" w:ascii="仿宋_GB2312" w:hAnsi="仿宋_GB2312" w:eastAsia="仿宋_GB2312" w:cs="仿宋_GB2312"/>
          <w:b/>
          <w:bCs/>
          <w:spacing w:val="-2"/>
          <w:sz w:val="32"/>
        </w:rPr>
        <w:t>第六章  评估业务计划</w:t>
      </w:r>
      <w:bookmarkEnd w:id="5"/>
    </w:p>
    <w:p>
      <w:pPr>
        <w:ind w:firstLine="632" w:firstLineChars="200"/>
        <w:rPr>
          <w:spacing w:val="-2"/>
          <w:sz w:val="32"/>
        </w:rPr>
      </w:pPr>
      <w:r>
        <w:rPr>
          <w:rFonts w:hint="eastAsia"/>
          <w:spacing w:val="-2"/>
          <w:sz w:val="32"/>
        </w:rPr>
        <w:t>第二十八条 中小评估机构应当制定评估业务计划的控制制度和程序，并采取相应措施，以确保：</w:t>
      </w:r>
    </w:p>
    <w:p>
      <w:pPr>
        <w:ind w:firstLine="632" w:firstLineChars="200"/>
        <w:rPr>
          <w:spacing w:val="-2"/>
          <w:sz w:val="32"/>
        </w:rPr>
      </w:pPr>
      <w:r>
        <w:rPr>
          <w:rFonts w:hint="eastAsia"/>
          <w:spacing w:val="-2"/>
          <w:sz w:val="32"/>
        </w:rPr>
        <w:t>（一）项目团队成员了解工作内容、工作目标、重点关注领域；</w:t>
      </w:r>
    </w:p>
    <w:p>
      <w:pPr>
        <w:ind w:firstLine="632" w:firstLineChars="200"/>
        <w:rPr>
          <w:spacing w:val="-2"/>
          <w:sz w:val="32"/>
        </w:rPr>
      </w:pPr>
      <w:r>
        <w:rPr>
          <w:rFonts w:hint="eastAsia"/>
          <w:spacing w:val="-2"/>
          <w:sz w:val="32"/>
        </w:rPr>
        <w:t>（二）项目负责人有效组织和管理评估业务；</w:t>
      </w:r>
    </w:p>
    <w:p>
      <w:pPr>
        <w:ind w:firstLine="632" w:firstLineChars="200"/>
        <w:rPr>
          <w:spacing w:val="-2"/>
          <w:sz w:val="32"/>
        </w:rPr>
      </w:pPr>
      <w:r>
        <w:rPr>
          <w:rFonts w:hint="eastAsia"/>
          <w:spacing w:val="-2"/>
          <w:sz w:val="32"/>
        </w:rPr>
        <w:t>（三）管理层人员有效监控评估业务；</w:t>
      </w:r>
    </w:p>
    <w:p>
      <w:pPr>
        <w:ind w:firstLine="632" w:firstLineChars="200"/>
        <w:rPr>
          <w:spacing w:val="-2"/>
          <w:sz w:val="32"/>
        </w:rPr>
      </w:pPr>
      <w:r>
        <w:rPr>
          <w:rFonts w:hint="eastAsia"/>
          <w:spacing w:val="-2"/>
          <w:sz w:val="32"/>
        </w:rPr>
        <w:t>（四）委托方和相关当事方了解评估计划的内容，配合项目团队工作。</w:t>
      </w:r>
    </w:p>
    <w:p>
      <w:pPr>
        <w:ind w:firstLine="632" w:firstLineChars="200"/>
        <w:rPr>
          <w:bCs/>
          <w:spacing w:val="-2"/>
          <w:sz w:val="32"/>
        </w:rPr>
      </w:pPr>
      <w:r>
        <w:rPr>
          <w:rFonts w:hint="eastAsia"/>
          <w:bCs/>
          <w:spacing w:val="-2"/>
          <w:sz w:val="32"/>
        </w:rPr>
        <w:t>第二十九条 评估计划应当由项目负责人编制，在编制评估计划前项目负责人应当完成以下事项：</w:t>
      </w:r>
    </w:p>
    <w:p>
      <w:pPr>
        <w:ind w:firstLine="632" w:firstLineChars="200"/>
        <w:rPr>
          <w:bCs/>
          <w:spacing w:val="-2"/>
          <w:sz w:val="32"/>
        </w:rPr>
      </w:pPr>
      <w:r>
        <w:rPr>
          <w:rFonts w:hint="eastAsia"/>
          <w:bCs/>
          <w:spacing w:val="-2"/>
          <w:sz w:val="32"/>
        </w:rPr>
        <w:t>（一）进一步明确评估业务基本事项；</w:t>
      </w:r>
    </w:p>
    <w:p>
      <w:pPr>
        <w:ind w:firstLine="632" w:firstLineChars="200"/>
        <w:rPr>
          <w:bCs/>
          <w:spacing w:val="-2"/>
          <w:sz w:val="32"/>
        </w:rPr>
      </w:pPr>
      <w:r>
        <w:rPr>
          <w:rFonts w:hint="eastAsia"/>
          <w:bCs/>
          <w:spacing w:val="-2"/>
          <w:sz w:val="32"/>
        </w:rPr>
        <w:t>（二）为编制评估计划、开展后续工作组织资源；</w:t>
      </w:r>
    </w:p>
    <w:p>
      <w:pPr>
        <w:ind w:firstLine="616" w:firstLineChars="200"/>
        <w:rPr>
          <w:bCs/>
          <w:spacing w:val="-6"/>
          <w:sz w:val="32"/>
          <w:szCs w:val="32"/>
        </w:rPr>
      </w:pPr>
      <w:r>
        <w:rPr>
          <w:rFonts w:hint="eastAsia"/>
          <w:bCs/>
          <w:spacing w:val="-6"/>
          <w:sz w:val="32"/>
          <w:szCs w:val="32"/>
        </w:rPr>
        <w:t>（三）确定是否对委托方和相关当事方进行必要的业务指导；</w:t>
      </w:r>
    </w:p>
    <w:p>
      <w:pPr>
        <w:ind w:firstLine="616" w:firstLineChars="200"/>
        <w:rPr>
          <w:bCs/>
          <w:spacing w:val="-6"/>
          <w:sz w:val="32"/>
          <w:szCs w:val="32"/>
        </w:rPr>
      </w:pPr>
      <w:r>
        <w:rPr>
          <w:rFonts w:hint="eastAsia"/>
          <w:bCs/>
          <w:spacing w:val="-6"/>
          <w:sz w:val="32"/>
          <w:szCs w:val="32"/>
        </w:rPr>
        <w:t>（四）确定是否对项目团队成员进行适当的培训；</w:t>
      </w:r>
    </w:p>
    <w:p>
      <w:pPr>
        <w:ind w:firstLine="632" w:firstLineChars="200"/>
        <w:rPr>
          <w:bCs/>
          <w:spacing w:val="-2"/>
          <w:sz w:val="32"/>
        </w:rPr>
      </w:pPr>
      <w:r>
        <w:rPr>
          <w:rFonts w:hint="eastAsia"/>
          <w:bCs/>
          <w:spacing w:val="-2"/>
          <w:sz w:val="32"/>
        </w:rPr>
        <w:t>（五）确定是否开展初步评估活动。</w:t>
      </w:r>
    </w:p>
    <w:p>
      <w:pPr>
        <w:ind w:firstLine="632" w:firstLineChars="200"/>
        <w:rPr>
          <w:bCs/>
          <w:spacing w:val="-2"/>
          <w:sz w:val="32"/>
        </w:rPr>
      </w:pPr>
      <w:r>
        <w:rPr>
          <w:rFonts w:hint="eastAsia"/>
          <w:bCs/>
          <w:spacing w:val="-2"/>
          <w:sz w:val="32"/>
        </w:rPr>
        <w:t>第三十条 评估计划应当涵盖评估业务实施全过程，一般包括现场调查、收集评估资料、评定估算、编制和提交评估报告等。评估计划主要内容通常包括：</w:t>
      </w:r>
    </w:p>
    <w:p>
      <w:pPr>
        <w:ind w:firstLine="632" w:firstLineChars="200"/>
        <w:rPr>
          <w:bCs/>
          <w:spacing w:val="-2"/>
          <w:sz w:val="32"/>
        </w:rPr>
      </w:pPr>
      <w:r>
        <w:rPr>
          <w:rFonts w:hint="eastAsia"/>
          <w:bCs/>
          <w:spacing w:val="-2"/>
          <w:sz w:val="32"/>
        </w:rPr>
        <w:t>（一）评估目的；</w:t>
      </w:r>
    </w:p>
    <w:p>
      <w:pPr>
        <w:ind w:firstLine="632" w:firstLineChars="200"/>
        <w:rPr>
          <w:bCs/>
          <w:spacing w:val="-2"/>
          <w:sz w:val="32"/>
        </w:rPr>
      </w:pPr>
      <w:r>
        <w:rPr>
          <w:rFonts w:hint="eastAsia"/>
          <w:bCs/>
          <w:spacing w:val="-2"/>
          <w:sz w:val="32"/>
        </w:rPr>
        <w:t>（二）评估对象和范围；</w:t>
      </w:r>
    </w:p>
    <w:p>
      <w:pPr>
        <w:ind w:firstLine="632" w:firstLineChars="200"/>
        <w:rPr>
          <w:bCs/>
          <w:spacing w:val="-2"/>
          <w:sz w:val="32"/>
        </w:rPr>
      </w:pPr>
      <w:r>
        <w:rPr>
          <w:rFonts w:hint="eastAsia"/>
          <w:bCs/>
          <w:spacing w:val="-2"/>
          <w:sz w:val="32"/>
        </w:rPr>
        <w:t>（三）价值类型；</w:t>
      </w:r>
    </w:p>
    <w:p>
      <w:pPr>
        <w:ind w:firstLine="632" w:firstLineChars="200"/>
        <w:rPr>
          <w:bCs/>
          <w:spacing w:val="-2"/>
          <w:sz w:val="32"/>
        </w:rPr>
      </w:pPr>
      <w:r>
        <w:rPr>
          <w:rFonts w:hint="eastAsia"/>
          <w:bCs/>
          <w:spacing w:val="-2"/>
          <w:sz w:val="32"/>
        </w:rPr>
        <w:t>（四）评估基准日；</w:t>
      </w:r>
    </w:p>
    <w:p>
      <w:pPr>
        <w:ind w:firstLine="632" w:firstLineChars="200"/>
        <w:rPr>
          <w:bCs/>
          <w:spacing w:val="-2"/>
          <w:sz w:val="32"/>
        </w:rPr>
      </w:pPr>
      <w:r>
        <w:rPr>
          <w:rFonts w:hint="eastAsia"/>
          <w:bCs/>
          <w:spacing w:val="-2"/>
          <w:sz w:val="32"/>
        </w:rPr>
        <w:t>（五）主要程序的时间进度；</w:t>
      </w:r>
    </w:p>
    <w:p>
      <w:pPr>
        <w:ind w:firstLine="632" w:firstLineChars="200"/>
        <w:rPr>
          <w:bCs/>
          <w:spacing w:val="-2"/>
          <w:sz w:val="32"/>
        </w:rPr>
      </w:pPr>
      <w:r>
        <w:rPr>
          <w:rFonts w:hint="eastAsia"/>
          <w:bCs/>
          <w:spacing w:val="-2"/>
          <w:sz w:val="32"/>
        </w:rPr>
        <w:t>（六）人员安排；</w:t>
      </w:r>
    </w:p>
    <w:p>
      <w:pPr>
        <w:ind w:firstLine="632" w:firstLineChars="200"/>
        <w:rPr>
          <w:bCs/>
          <w:spacing w:val="-2"/>
          <w:sz w:val="32"/>
        </w:rPr>
      </w:pPr>
      <w:r>
        <w:rPr>
          <w:rFonts w:hint="eastAsia"/>
          <w:bCs/>
          <w:spacing w:val="-2"/>
          <w:sz w:val="32"/>
        </w:rPr>
        <w:t>（七）评估方法；</w:t>
      </w:r>
    </w:p>
    <w:p>
      <w:pPr>
        <w:ind w:firstLine="632" w:firstLineChars="200"/>
        <w:rPr>
          <w:bCs/>
          <w:spacing w:val="-2"/>
          <w:sz w:val="32"/>
        </w:rPr>
      </w:pPr>
      <w:r>
        <w:rPr>
          <w:rFonts w:hint="eastAsia"/>
          <w:bCs/>
          <w:spacing w:val="-2"/>
          <w:sz w:val="32"/>
        </w:rPr>
        <w:t>（八）技术方案；</w:t>
      </w:r>
    </w:p>
    <w:p>
      <w:pPr>
        <w:ind w:firstLine="632" w:firstLineChars="200"/>
        <w:rPr>
          <w:bCs/>
          <w:spacing w:val="-2"/>
          <w:sz w:val="32"/>
        </w:rPr>
      </w:pPr>
      <w:r>
        <w:rPr>
          <w:rFonts w:hint="eastAsia"/>
          <w:bCs/>
          <w:spacing w:val="-2"/>
          <w:sz w:val="32"/>
        </w:rPr>
        <w:t>（九）是否需要利用专家工作。</w:t>
      </w:r>
    </w:p>
    <w:p>
      <w:pPr>
        <w:ind w:firstLine="632" w:firstLineChars="200"/>
        <w:rPr>
          <w:bCs/>
          <w:spacing w:val="-2"/>
          <w:sz w:val="32"/>
        </w:rPr>
      </w:pPr>
      <w:r>
        <w:rPr>
          <w:rFonts w:hint="eastAsia"/>
          <w:bCs/>
          <w:spacing w:val="-2"/>
          <w:sz w:val="32"/>
        </w:rPr>
        <w:t>第三十一条 评估计划应当经过最高管理层成员批准后实施。如果在业务执行过程中发生重大调整，应当重新报批。</w:t>
      </w:r>
    </w:p>
    <w:p>
      <w:pPr>
        <w:ind w:firstLine="632" w:firstLineChars="200"/>
        <w:rPr>
          <w:spacing w:val="-2"/>
          <w:sz w:val="32"/>
        </w:rPr>
      </w:pPr>
      <w:r>
        <w:rPr>
          <w:rFonts w:hint="eastAsia"/>
          <w:spacing w:val="-2"/>
          <w:sz w:val="32"/>
        </w:rPr>
        <w:t>第三十二条 对大型、复杂的评估业务，应当编制详细的评估计划。</w:t>
      </w:r>
      <w:bookmarkStart w:id="6" w:name="_Toc332433912"/>
    </w:p>
    <w:p>
      <w:pPr>
        <w:widowControl w:val="0"/>
        <w:wordWrap/>
        <w:autoSpaceDE w:val="0"/>
        <w:autoSpaceDN w:val="0"/>
        <w:adjustRightInd w:val="0"/>
        <w:snapToGrid w:val="0"/>
        <w:spacing w:before="157" w:beforeLines="50" w:after="157" w:afterLines="50" w:line="588" w:lineRule="atLeast"/>
        <w:ind w:left="0" w:leftChars="0" w:right="0" w:firstLine="0" w:firstLineChars="0"/>
        <w:jc w:val="center"/>
        <w:textAlignment w:val="auto"/>
        <w:outlineLvl w:val="9"/>
        <w:rPr>
          <w:rFonts w:hint="eastAsia" w:ascii="仿宋_GB2312" w:hAnsi="仿宋_GB2312" w:eastAsia="仿宋_GB2312" w:cs="仿宋_GB2312"/>
          <w:b/>
          <w:bCs/>
          <w:spacing w:val="-2"/>
          <w:sz w:val="32"/>
        </w:rPr>
      </w:pPr>
      <w:r>
        <w:rPr>
          <w:rFonts w:hint="eastAsia" w:ascii="仿宋_GB2312" w:hAnsi="仿宋_GB2312" w:eastAsia="仿宋_GB2312" w:cs="仿宋_GB2312"/>
          <w:b/>
          <w:bCs/>
          <w:spacing w:val="-2"/>
          <w:sz w:val="32"/>
        </w:rPr>
        <w:t>第七章  评估业务实施和报告出具</w:t>
      </w:r>
      <w:bookmarkEnd w:id="6"/>
    </w:p>
    <w:p>
      <w:pPr>
        <w:ind w:firstLine="632" w:firstLineChars="200"/>
        <w:rPr>
          <w:bCs/>
          <w:spacing w:val="-2"/>
          <w:sz w:val="32"/>
        </w:rPr>
      </w:pPr>
      <w:r>
        <w:rPr>
          <w:rFonts w:hint="eastAsia"/>
          <w:bCs/>
          <w:spacing w:val="-2"/>
          <w:sz w:val="32"/>
        </w:rPr>
        <w:t>第三十三条 中小评估机构应当制定评估业务实施和报告出具环节的制度和程序，针对以下方面采取相应措施，保证评估业务正确执行，满足出具评估报告的要求：</w:t>
      </w:r>
    </w:p>
    <w:p>
      <w:pPr>
        <w:ind w:firstLine="632" w:firstLineChars="200"/>
        <w:rPr>
          <w:bCs/>
          <w:spacing w:val="-2"/>
          <w:sz w:val="32"/>
        </w:rPr>
      </w:pPr>
      <w:r>
        <w:rPr>
          <w:rFonts w:hint="eastAsia"/>
          <w:bCs/>
          <w:spacing w:val="-2"/>
          <w:sz w:val="32"/>
        </w:rPr>
        <w:t>（一）项目团队组建及工作委派；</w:t>
      </w:r>
    </w:p>
    <w:p>
      <w:pPr>
        <w:ind w:firstLine="632" w:firstLineChars="200"/>
        <w:rPr>
          <w:bCs/>
          <w:spacing w:val="-2"/>
          <w:sz w:val="32"/>
        </w:rPr>
      </w:pPr>
      <w:r>
        <w:rPr>
          <w:rFonts w:hint="eastAsia"/>
          <w:bCs/>
          <w:spacing w:val="-2"/>
          <w:sz w:val="32"/>
        </w:rPr>
        <w:t>（二）现场调查、评估资料收集和评定估算；</w:t>
      </w:r>
    </w:p>
    <w:p>
      <w:pPr>
        <w:ind w:firstLine="632" w:firstLineChars="200"/>
        <w:rPr>
          <w:bCs/>
          <w:spacing w:val="-2"/>
          <w:sz w:val="32"/>
        </w:rPr>
      </w:pPr>
      <w:r>
        <w:rPr>
          <w:rFonts w:hint="eastAsia"/>
          <w:bCs/>
          <w:spacing w:val="-2"/>
          <w:sz w:val="32"/>
        </w:rPr>
        <w:t>（三）评估报告编制；</w:t>
      </w:r>
    </w:p>
    <w:p>
      <w:pPr>
        <w:ind w:firstLine="632" w:firstLineChars="200"/>
        <w:rPr>
          <w:bCs/>
          <w:spacing w:val="-2"/>
          <w:sz w:val="32"/>
        </w:rPr>
      </w:pPr>
      <w:r>
        <w:rPr>
          <w:rFonts w:hint="eastAsia"/>
          <w:bCs/>
          <w:spacing w:val="-2"/>
          <w:sz w:val="32"/>
        </w:rPr>
        <w:t>（四）利用专家工作；</w:t>
      </w:r>
    </w:p>
    <w:p>
      <w:pPr>
        <w:ind w:firstLine="632" w:firstLineChars="200"/>
        <w:rPr>
          <w:bCs/>
          <w:spacing w:val="-2"/>
          <w:sz w:val="32"/>
        </w:rPr>
      </w:pPr>
      <w:r>
        <w:rPr>
          <w:rFonts w:hint="eastAsia"/>
          <w:bCs/>
          <w:spacing w:val="-2"/>
          <w:sz w:val="32"/>
        </w:rPr>
        <w:t>（五）疑难问题的咨询及解决；</w:t>
      </w:r>
    </w:p>
    <w:p>
      <w:pPr>
        <w:ind w:firstLine="632" w:firstLineChars="200"/>
        <w:rPr>
          <w:bCs/>
          <w:spacing w:val="-2"/>
          <w:sz w:val="32"/>
        </w:rPr>
      </w:pPr>
      <w:r>
        <w:rPr>
          <w:rFonts w:hint="eastAsia"/>
          <w:bCs/>
          <w:spacing w:val="-2"/>
          <w:sz w:val="32"/>
        </w:rPr>
        <w:t>（六）争议事项的解决；</w:t>
      </w:r>
    </w:p>
    <w:p>
      <w:pPr>
        <w:ind w:firstLine="632" w:firstLineChars="200"/>
        <w:rPr>
          <w:bCs/>
          <w:spacing w:val="-2"/>
          <w:sz w:val="32"/>
        </w:rPr>
      </w:pPr>
      <w:r>
        <w:rPr>
          <w:rFonts w:hint="eastAsia"/>
          <w:bCs/>
          <w:spacing w:val="-2"/>
          <w:sz w:val="32"/>
        </w:rPr>
        <w:t>（七）项目负责人的指导与监督；</w:t>
      </w:r>
    </w:p>
    <w:p>
      <w:pPr>
        <w:ind w:firstLine="632" w:firstLineChars="200"/>
        <w:rPr>
          <w:bCs/>
          <w:spacing w:val="-2"/>
          <w:sz w:val="32"/>
        </w:rPr>
      </w:pPr>
      <w:r>
        <w:rPr>
          <w:rFonts w:hint="eastAsia"/>
          <w:bCs/>
          <w:spacing w:val="-2"/>
          <w:sz w:val="32"/>
        </w:rPr>
        <w:t>（八）内部审核；</w:t>
      </w:r>
    </w:p>
    <w:p>
      <w:pPr>
        <w:ind w:firstLine="632" w:firstLineChars="200"/>
        <w:rPr>
          <w:bCs/>
          <w:spacing w:val="-2"/>
          <w:sz w:val="32"/>
        </w:rPr>
      </w:pPr>
      <w:r>
        <w:rPr>
          <w:rFonts w:hint="eastAsia"/>
          <w:bCs/>
          <w:spacing w:val="-2"/>
          <w:sz w:val="32"/>
        </w:rPr>
        <w:t>（九）评估报告签发及提交。</w:t>
      </w:r>
    </w:p>
    <w:p>
      <w:pPr>
        <w:ind w:firstLine="632" w:firstLineChars="200"/>
        <w:rPr>
          <w:bCs/>
          <w:spacing w:val="-2"/>
          <w:sz w:val="32"/>
        </w:rPr>
      </w:pPr>
      <w:r>
        <w:rPr>
          <w:rFonts w:hint="eastAsia"/>
          <w:bCs/>
          <w:spacing w:val="-2"/>
          <w:sz w:val="32"/>
        </w:rPr>
        <w:t>第三十四条 中小评估机构应当根据评估业务的规模、难易程度等确定项目负责人，根据项目负责人的建议组建项目团队，明确项目团队成员的职责、权限分工。</w:t>
      </w:r>
    </w:p>
    <w:p>
      <w:pPr>
        <w:ind w:firstLine="632" w:firstLineChars="200"/>
        <w:rPr>
          <w:bCs/>
          <w:spacing w:val="-2"/>
          <w:sz w:val="32"/>
        </w:rPr>
      </w:pPr>
      <w:r>
        <w:rPr>
          <w:rFonts w:hint="eastAsia"/>
          <w:bCs/>
          <w:spacing w:val="-2"/>
          <w:sz w:val="32"/>
        </w:rPr>
        <w:t>（一）项目负责人应当符合下列要求：</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1.具有资产评估师资格；</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2.具备履行职责所需的职业道德、专业知识、执业能力、专业经验；</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3.对大型、复杂的评估业务，项目负责人应当由具有专业胜任能力的股东（或者合伙人）担任。</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（二）项目团队其他成员应当具有完成评估业务必备的专业胜任能力和经验。</w:t>
      </w:r>
    </w:p>
    <w:p>
      <w:pPr>
        <w:ind w:firstLine="632" w:firstLineChars="200"/>
        <w:rPr>
          <w:rFonts w:hint="eastAsia" w:ascii="仿宋_GB2312" w:hAnsi="仿宋_GB2312" w:cs="仿宋_GB2312"/>
          <w:spacing w:val="-2"/>
          <w:sz w:val="32"/>
        </w:rPr>
      </w:pPr>
      <w:r>
        <w:rPr>
          <w:rFonts w:hint="eastAsia" w:ascii="仿宋_GB2312" w:hAnsi="仿宋_GB2312" w:cs="仿宋_GB2312"/>
          <w:bCs/>
          <w:spacing w:val="-2"/>
          <w:sz w:val="32"/>
        </w:rPr>
        <w:t>第三十五条 中小评估机构</w:t>
      </w:r>
      <w:r>
        <w:rPr>
          <w:rFonts w:hint="eastAsia" w:ascii="仿宋_GB2312" w:hAnsi="仿宋_GB2312" w:cs="仿宋_GB2312"/>
          <w:spacing w:val="-2"/>
          <w:sz w:val="32"/>
        </w:rPr>
        <w:t>应当针对不同特征资产（企业）的现场调查、收集评估资料、评定估算以及编制评估报告情况，制定控制制度和程序：</w:t>
      </w:r>
    </w:p>
    <w:p>
      <w:pPr>
        <w:ind w:firstLine="632" w:firstLineChars="200"/>
        <w:rPr>
          <w:rFonts w:hint="eastAsia" w:ascii="仿宋_GB2312" w:hAnsi="仿宋_GB2312" w:cs="仿宋_GB2312"/>
          <w:spacing w:val="-2"/>
          <w:sz w:val="32"/>
        </w:rPr>
      </w:pPr>
      <w:r>
        <w:rPr>
          <w:rFonts w:hint="eastAsia" w:ascii="仿宋_GB2312" w:hAnsi="仿宋_GB2312" w:cs="仿宋_GB2312"/>
          <w:spacing w:val="-2"/>
          <w:sz w:val="32"/>
        </w:rPr>
        <w:t>（一）根据业务现场情况制定可行的现场工作方案，组织项目团队成员进行现场调查，收集、整理相关资料，按评估计划完成现场工作，并有完整记录；</w:t>
      </w:r>
    </w:p>
    <w:p>
      <w:pPr>
        <w:ind w:firstLine="632" w:firstLineChars="200"/>
        <w:rPr>
          <w:rFonts w:hint="eastAsia" w:ascii="仿宋_GB2312" w:hAnsi="仿宋_GB2312" w:cs="仿宋_GB2312"/>
          <w:spacing w:val="-2"/>
          <w:sz w:val="32"/>
        </w:rPr>
      </w:pPr>
      <w:r>
        <w:rPr>
          <w:rFonts w:hint="eastAsia" w:ascii="仿宋_GB2312" w:hAnsi="仿宋_GB2312" w:cs="仿宋_GB2312"/>
          <w:spacing w:val="-2"/>
          <w:sz w:val="32"/>
        </w:rPr>
        <w:t>（二）谨慎选择收集资料的渠道，对委托方及被评估单位（产权持有单位）提供的资料，现场调查收集的资料，直接从市场等渠道独立获取的资料，以及从政府部门、各类专业机构和其他相关部门获取的资料进行分析，并重点关注评估资料的相关性和可靠性；</w:t>
      </w:r>
    </w:p>
    <w:p>
      <w:pPr>
        <w:ind w:firstLine="632" w:firstLineChars="200"/>
        <w:rPr>
          <w:rFonts w:hint="eastAsia" w:ascii="仿宋_GB2312" w:hAnsi="仿宋_GB2312" w:cs="仿宋_GB2312"/>
          <w:spacing w:val="-2"/>
          <w:sz w:val="32"/>
        </w:rPr>
      </w:pPr>
      <w:r>
        <w:rPr>
          <w:rFonts w:hint="eastAsia" w:ascii="仿宋_GB2312" w:hAnsi="仿宋_GB2312" w:cs="仿宋_GB2312"/>
          <w:spacing w:val="-2"/>
          <w:sz w:val="32"/>
        </w:rPr>
        <w:t>（三）根据评估对象、评估目的、价值类型、资料收集情况，分析、判断评估方法的恰当性，进行评定估算，对评估结论的合理性进行分析，记录评估方法、参数的选取及评估结论的确定过程。</w:t>
      </w:r>
    </w:p>
    <w:p>
      <w:pPr>
        <w:ind w:firstLine="632" w:firstLineChars="200"/>
        <w:rPr>
          <w:rFonts w:hint="eastAsia" w:ascii="仿宋_GB2312" w:hAnsi="仿宋_GB2312" w:cs="仿宋_GB2312"/>
          <w:spacing w:val="-2"/>
          <w:sz w:val="32"/>
        </w:rPr>
      </w:pPr>
      <w:r>
        <w:rPr>
          <w:rFonts w:hint="eastAsia" w:ascii="仿宋_GB2312" w:hAnsi="仿宋_GB2312" w:cs="仿宋_GB2312"/>
          <w:spacing w:val="-2"/>
          <w:sz w:val="32"/>
        </w:rPr>
        <w:t>第三十六条 评估报告应当由项目负责人组织编制，在评估报告编制前应当对已经完成的工作底稿进行整理、分析、审核，对评估结论进行综合评价。评估报告应当全面、客观反映评估过程和评估结论，内容完整，格式规范。</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第三十七条 中小评估机构在评估业务执行过程中，如果需要专家协助工作，项目负责人应当与专家充分沟通，确保专家理解工作目标，履行评估程序。</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第三十八条 中小评估机构制定的引用其他专业报告结论的控制制度和程序，通常包括下列内容：</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（一）对出具专业报告的机构资质进行核实；</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（二）对拟引用专业报告的重大事项进行必要关注；</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（三）引用的情形、方式及其在评估报告中的披露。</w:t>
      </w:r>
    </w:p>
    <w:p>
      <w:pPr>
        <w:ind w:firstLine="632" w:firstLineChars="200"/>
        <w:rPr>
          <w:rFonts w:hint="eastAsia" w:ascii="仿宋_GB2312" w:hAnsi="仿宋_GB2312" w:cs="仿宋_GB2312"/>
          <w:spacing w:val="-2"/>
          <w:sz w:val="32"/>
        </w:rPr>
      </w:pPr>
      <w:r>
        <w:rPr>
          <w:rFonts w:hint="eastAsia" w:ascii="仿宋_GB2312" w:hAnsi="仿宋_GB2312" w:cs="仿宋_GB2312"/>
          <w:bCs/>
          <w:spacing w:val="-2"/>
          <w:sz w:val="32"/>
        </w:rPr>
        <w:t>第三十九条 中小评估机构应当制定</w:t>
      </w:r>
      <w:r>
        <w:rPr>
          <w:rFonts w:hint="eastAsia" w:ascii="仿宋_GB2312" w:hAnsi="仿宋_GB2312" w:cs="仿宋_GB2312"/>
          <w:spacing w:val="-2"/>
          <w:sz w:val="32"/>
        </w:rPr>
        <w:t>疑难问题解决</w:t>
      </w:r>
      <w:r>
        <w:rPr>
          <w:rFonts w:hint="eastAsia" w:ascii="仿宋_GB2312" w:hAnsi="仿宋_GB2312" w:cs="仿宋_GB2312"/>
          <w:bCs/>
          <w:spacing w:val="-2"/>
          <w:sz w:val="32"/>
        </w:rPr>
        <w:t>制度和程序，</w:t>
      </w:r>
      <w:r>
        <w:rPr>
          <w:rFonts w:hint="eastAsia" w:ascii="仿宋_GB2312" w:hAnsi="仿宋_GB2312" w:cs="仿宋_GB2312"/>
          <w:spacing w:val="-2"/>
          <w:sz w:val="32"/>
        </w:rPr>
        <w:t>对于在评估业务执行过程中遇到的疑难问题，应当考虑以适当方式和渠道进行咨询，避免随意处理或者回避。</w:t>
      </w:r>
    </w:p>
    <w:p>
      <w:pPr>
        <w:ind w:firstLine="632" w:firstLineChars="200"/>
        <w:rPr>
          <w:rFonts w:hint="eastAsia" w:ascii="仿宋_GB2312" w:hAnsi="仿宋_GB2312" w:cs="仿宋_GB2312"/>
          <w:spacing w:val="-2"/>
          <w:sz w:val="32"/>
        </w:rPr>
      </w:pPr>
      <w:r>
        <w:rPr>
          <w:rFonts w:hint="eastAsia" w:ascii="仿宋_GB2312" w:hAnsi="仿宋_GB2312" w:cs="仿宋_GB2312"/>
          <w:spacing w:val="-2"/>
          <w:sz w:val="32"/>
        </w:rPr>
        <w:t>（一）项目团队内部应当形成良好的咨询、研讨氛围，评估人员遇到疑难问题时，应当及时向项目负责人或者项目团队其他成员咨询。如果疑难问题在项目团队内部无法得到解决，项目负责人应当将问题以及所有相关的事项报首席评估师；</w:t>
      </w:r>
    </w:p>
    <w:p>
      <w:pPr>
        <w:ind w:firstLine="632" w:firstLineChars="200"/>
        <w:rPr>
          <w:rFonts w:hint="eastAsia" w:ascii="仿宋_GB2312" w:hAnsi="仿宋_GB2312" w:cs="仿宋_GB2312"/>
          <w:spacing w:val="-2"/>
          <w:sz w:val="32"/>
        </w:rPr>
      </w:pPr>
      <w:r>
        <w:rPr>
          <w:rFonts w:hint="eastAsia" w:ascii="仿宋_GB2312" w:hAnsi="仿宋_GB2312" w:cs="仿宋_GB2312"/>
          <w:spacing w:val="-2"/>
          <w:sz w:val="32"/>
        </w:rPr>
        <w:t>（二）首席评估师应当及时解答项目团队提交的问题，并以适当的形式反馈咨询意见。对于首席评估师无法解决的疑难事项，可向评估机构外部其他具备适当知识、资历和经验的专业人士咨询；</w:t>
      </w:r>
    </w:p>
    <w:p>
      <w:pPr>
        <w:ind w:firstLine="632" w:firstLineChars="200"/>
        <w:rPr>
          <w:rFonts w:hint="eastAsia" w:ascii="仿宋_GB2312" w:hAnsi="仿宋_GB2312" w:cs="仿宋_GB2312"/>
          <w:spacing w:val="-2"/>
          <w:sz w:val="32"/>
        </w:rPr>
      </w:pPr>
      <w:r>
        <w:rPr>
          <w:rFonts w:hint="eastAsia" w:ascii="仿宋_GB2312" w:hAnsi="仿宋_GB2312" w:cs="仿宋_GB2312"/>
          <w:spacing w:val="-2"/>
          <w:sz w:val="32"/>
        </w:rPr>
        <w:t>（三）项目团队应当完整、详细地记录寻求咨询的事项及咨询的结果。</w:t>
      </w:r>
    </w:p>
    <w:p>
      <w:pPr>
        <w:ind w:firstLine="632" w:firstLineChars="200"/>
        <w:rPr>
          <w:rFonts w:hint="eastAsia" w:ascii="仿宋_GB2312" w:hAnsi="仿宋_GB2312" w:cs="仿宋_GB2312"/>
          <w:spacing w:val="-2"/>
          <w:sz w:val="32"/>
        </w:rPr>
      </w:pPr>
      <w:r>
        <w:rPr>
          <w:rFonts w:hint="eastAsia" w:ascii="仿宋_GB2312" w:hAnsi="仿宋_GB2312" w:cs="仿宋_GB2312"/>
          <w:spacing w:val="-2"/>
          <w:sz w:val="32"/>
        </w:rPr>
        <w:t>项目团队各级人员应当切实履行职责，其职责不因咨询而改变。</w:t>
      </w:r>
    </w:p>
    <w:p>
      <w:pPr>
        <w:ind w:firstLine="632" w:firstLineChars="200"/>
        <w:rPr>
          <w:rFonts w:hint="eastAsia" w:ascii="仿宋_GB2312" w:hAnsi="仿宋_GB2312" w:cs="仿宋_GB2312"/>
          <w:spacing w:val="-2"/>
          <w:sz w:val="32"/>
        </w:rPr>
      </w:pPr>
      <w:r>
        <w:rPr>
          <w:rFonts w:hint="eastAsia" w:ascii="仿宋_GB2312" w:hAnsi="仿宋_GB2312" w:cs="仿宋_GB2312"/>
          <w:spacing w:val="-2"/>
          <w:sz w:val="32"/>
        </w:rPr>
        <w:t>第四十条 中小评估机构应当制定意见分歧解决制度和程序，处理和解决签字的资产评估师之间的意见分歧，项目负责人与项目审核人员、首席评估师之间的意见分歧。形成的结论应当执行并记录。</w:t>
      </w:r>
    </w:p>
    <w:p>
      <w:pPr>
        <w:ind w:firstLine="632" w:firstLineChars="200"/>
        <w:rPr>
          <w:rFonts w:hint="eastAsia" w:ascii="仿宋_GB2312" w:hAnsi="仿宋_GB2312" w:cs="仿宋_GB2312"/>
          <w:bCs/>
          <w:spacing w:val="-2"/>
          <w:sz w:val="32"/>
        </w:rPr>
      </w:pPr>
      <w:r>
        <w:rPr>
          <w:rFonts w:hint="eastAsia" w:ascii="仿宋_GB2312" w:hAnsi="仿宋_GB2312" w:cs="仿宋_GB2312"/>
          <w:spacing w:val="-2"/>
          <w:sz w:val="32"/>
        </w:rPr>
        <w:t>（一）签字的资产评估师之间、项目负责人与项目审核人员之间、项目负责人与首席评估师之间的意见分歧，由首席评估师负责协调处理；</w:t>
      </w:r>
    </w:p>
    <w:p>
      <w:pPr>
        <w:ind w:firstLine="632" w:firstLineChars="200"/>
        <w:rPr>
          <w:rFonts w:hint="eastAsia" w:ascii="仿宋_GB2312" w:hAnsi="仿宋_GB2312" w:cs="仿宋_GB2312"/>
          <w:bCs/>
          <w:spacing w:val="-2"/>
          <w:sz w:val="32"/>
        </w:rPr>
      </w:pPr>
      <w:r>
        <w:rPr>
          <w:rFonts w:hint="eastAsia" w:ascii="仿宋_GB2312" w:hAnsi="仿宋_GB2312" w:cs="仿宋_GB2312"/>
          <w:spacing w:val="-2"/>
          <w:sz w:val="32"/>
        </w:rPr>
        <w:t>（二）在意见分歧未得到解决之前，评估机构不得出具评估报告。</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第四十一条 中小评估机构应当制定项目负责人制度和程序，要求项目负责人对项目团队成员的评估业务工作给予充分的指导和监督，合理保证其按照法律法规、资产评估准则的规定执行业务，并根据具体情况出具客观、公正的报告。</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（一）项目负责人应当根据项目团队成员的专业胜任能力、经验进行合理分工，通过适当的培训，使项目团队成员清楚了解所分派工作的目标，指导其完成所分派的工作，以保证项目团队成员明确下列事项：</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1.各自的职责；</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2.评估业务基本情况；</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3.评估计划；</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4.与风险相关的事项；</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5.可能出现的问题。</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（二）项目负责人应当监督评估业务的执行，主要监督工作包括：</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1.对项目团队成员承担的工作进行检查，掌握其工作进展情况；</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2.对项目团队成员承担的工作进行协调、管理；</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3.项目团队内部复核。</w:t>
      </w:r>
    </w:p>
    <w:p>
      <w:pPr>
        <w:ind w:firstLine="632" w:firstLineChars="200"/>
        <w:rPr>
          <w:rFonts w:hint="eastAsia" w:ascii="仿宋_GB2312" w:hAnsi="仿宋_GB2312" w:cs="仿宋_GB2312"/>
          <w:spacing w:val="-2"/>
          <w:sz w:val="32"/>
        </w:rPr>
      </w:pPr>
      <w:r>
        <w:rPr>
          <w:rFonts w:hint="eastAsia" w:ascii="仿宋_GB2312" w:hAnsi="仿宋_GB2312" w:cs="仿宋_GB2312"/>
          <w:bCs/>
          <w:spacing w:val="-2"/>
          <w:sz w:val="32"/>
        </w:rPr>
        <w:t>第四十二条 中小</w:t>
      </w:r>
      <w:r>
        <w:rPr>
          <w:rFonts w:hint="eastAsia" w:ascii="仿宋_GB2312" w:hAnsi="仿宋_GB2312" w:cs="仿宋_GB2312"/>
          <w:spacing w:val="-2"/>
          <w:sz w:val="32"/>
        </w:rPr>
        <w:t>评估机构应当制定评估业务内部审核制度和程序，项目负责人应当对编制完成的评估报告相关内容进行审核，经过项目团队其他签字资产评估师复核后，提交项目审核人员审核，重大评估业务在项目审核人员审核后报首席评估师审核。应当确保未经审核合格的事项不得进入下一程序，审核过程、结论应当记录并归档。</w:t>
      </w:r>
    </w:p>
    <w:p>
      <w:pPr>
        <w:ind w:firstLine="632" w:firstLineChars="200"/>
        <w:rPr>
          <w:rFonts w:hint="eastAsia" w:ascii="仿宋_GB2312" w:hAnsi="仿宋_GB2312" w:cs="仿宋_GB2312"/>
          <w:spacing w:val="-2"/>
          <w:sz w:val="32"/>
        </w:rPr>
      </w:pPr>
      <w:r>
        <w:rPr>
          <w:rFonts w:hint="eastAsia" w:ascii="仿宋_GB2312" w:hAnsi="仿宋_GB2312" w:cs="仿宋_GB2312"/>
          <w:spacing w:val="-2"/>
          <w:sz w:val="32"/>
        </w:rPr>
        <w:t>（一）项目审核人员应当重点审核以下内容</w:t>
      </w:r>
      <w:r>
        <w:rPr>
          <w:rFonts w:hint="eastAsia" w:ascii="仿宋_GB2312" w:hAnsi="仿宋_GB2312" w:cs="仿宋_GB2312"/>
          <w:bCs/>
          <w:spacing w:val="-2"/>
          <w:sz w:val="32"/>
        </w:rPr>
        <w:t>，综合评价评估业务</w:t>
      </w:r>
      <w:r>
        <w:rPr>
          <w:rFonts w:hint="eastAsia" w:ascii="仿宋_GB2312" w:hAnsi="仿宋_GB2312" w:cs="仿宋_GB2312"/>
          <w:spacing w:val="-2"/>
          <w:sz w:val="32"/>
        </w:rPr>
        <w:t>风险，提出出具评估报告的明确意见：</w:t>
      </w:r>
    </w:p>
    <w:p>
      <w:pPr>
        <w:ind w:firstLine="632" w:firstLineChars="200"/>
        <w:rPr>
          <w:rFonts w:hint="eastAsia" w:ascii="仿宋_GB2312" w:hAnsi="仿宋_GB2312" w:cs="仿宋_GB2312"/>
          <w:spacing w:val="-2"/>
          <w:sz w:val="32"/>
        </w:rPr>
      </w:pPr>
      <w:r>
        <w:rPr>
          <w:rFonts w:hint="eastAsia" w:ascii="仿宋_GB2312" w:hAnsi="仿宋_GB2312" w:cs="仿宋_GB2312"/>
          <w:spacing w:val="-2"/>
          <w:sz w:val="32"/>
        </w:rPr>
        <w:t>1.项目团队内部是否已经进行复核；</w:t>
      </w:r>
    </w:p>
    <w:p>
      <w:pPr>
        <w:ind w:firstLine="632" w:firstLineChars="200"/>
        <w:rPr>
          <w:rFonts w:hint="eastAsia" w:ascii="仿宋_GB2312" w:hAnsi="仿宋_GB2312" w:cs="仿宋_GB2312"/>
          <w:spacing w:val="-2"/>
          <w:sz w:val="32"/>
        </w:rPr>
      </w:pPr>
      <w:r>
        <w:rPr>
          <w:rFonts w:hint="eastAsia" w:ascii="仿宋_GB2312" w:hAnsi="仿宋_GB2312" w:cs="仿宋_GB2312"/>
          <w:spacing w:val="-2"/>
          <w:sz w:val="32"/>
        </w:rPr>
        <w:t>2.是否已经按资产评估准则的要求履行了必要的评估程序，完成了评估计划全部工作；</w:t>
      </w:r>
    </w:p>
    <w:p>
      <w:pPr>
        <w:ind w:firstLine="632" w:firstLineChars="200"/>
        <w:rPr>
          <w:rFonts w:hint="eastAsia" w:ascii="仿宋_GB2312" w:hAnsi="仿宋_GB2312" w:cs="仿宋_GB2312"/>
          <w:spacing w:val="-2"/>
          <w:sz w:val="32"/>
        </w:rPr>
      </w:pPr>
      <w:r>
        <w:rPr>
          <w:rFonts w:hint="eastAsia" w:ascii="仿宋_GB2312" w:hAnsi="仿宋_GB2312" w:cs="仿宋_GB2312"/>
          <w:spacing w:val="-2"/>
          <w:sz w:val="32"/>
        </w:rPr>
        <w:t>3.获取的证据是否充分、适当，足以支持形成的结论；采用的评估方法是否恰当，选取的参数是否合理，测算过程是否清晰；评估报告是否已经正确完整编制，措辞是否恰当，重大事项是否在评估报告中已经完整披露，是否符合出具评估报告的要求；</w:t>
      </w:r>
    </w:p>
    <w:p>
      <w:pPr>
        <w:ind w:firstLine="632" w:firstLineChars="200"/>
        <w:rPr>
          <w:rFonts w:hint="eastAsia" w:ascii="仿宋_GB2312" w:hAnsi="仿宋_GB2312" w:cs="仿宋_GB2312"/>
          <w:bCs/>
          <w:spacing w:val="-2"/>
          <w:sz w:val="32"/>
        </w:rPr>
      </w:pPr>
      <w:r>
        <w:rPr>
          <w:rFonts w:hint="eastAsia" w:ascii="仿宋_GB2312" w:hAnsi="仿宋_GB2312" w:cs="仿宋_GB2312"/>
          <w:spacing w:val="-2"/>
          <w:sz w:val="32"/>
        </w:rPr>
        <w:t>4.支持评估结论的相关证据及评估过程是否已经形成工作底稿，工作底稿</w:t>
      </w:r>
      <w:r>
        <w:rPr>
          <w:rFonts w:hint="eastAsia" w:ascii="仿宋_GB2312" w:hAnsi="仿宋_GB2312" w:cs="仿宋_GB2312"/>
          <w:bCs/>
          <w:spacing w:val="-2"/>
          <w:sz w:val="32"/>
        </w:rPr>
        <w:t>形式上是否做到要素齐全、格式规范、标识一致、记录清晰；内容上是否做到资料完整、信息准确、繁简得当、结论明确。</w:t>
      </w:r>
    </w:p>
    <w:p>
      <w:pPr>
        <w:ind w:firstLine="632" w:firstLineChars="200"/>
        <w:rPr>
          <w:rFonts w:hint="eastAsia" w:ascii="仿宋_GB2312" w:hAnsi="仿宋_GB2312" w:cs="仿宋_GB2312"/>
          <w:spacing w:val="-2"/>
          <w:sz w:val="32"/>
        </w:rPr>
      </w:pPr>
      <w:r>
        <w:rPr>
          <w:rFonts w:hint="eastAsia" w:ascii="仿宋_GB2312" w:hAnsi="仿宋_GB2312" w:cs="仿宋_GB2312"/>
          <w:spacing w:val="-2"/>
          <w:sz w:val="32"/>
        </w:rPr>
        <w:t>（二）首席评估师应当重点审核以下内容：</w:t>
      </w:r>
    </w:p>
    <w:p>
      <w:pPr>
        <w:ind w:firstLine="632" w:firstLineChars="200"/>
        <w:rPr>
          <w:rFonts w:hint="eastAsia" w:ascii="仿宋_GB2312" w:hAnsi="仿宋_GB2312" w:cs="仿宋_GB2312"/>
          <w:spacing w:val="-2"/>
          <w:sz w:val="32"/>
        </w:rPr>
      </w:pPr>
      <w:r>
        <w:rPr>
          <w:rFonts w:hint="eastAsia" w:ascii="仿宋_GB2312" w:hAnsi="仿宋_GB2312" w:cs="仿宋_GB2312"/>
          <w:spacing w:val="-2"/>
          <w:sz w:val="32"/>
        </w:rPr>
        <w:t>1.项目审核人员的工作是否恰当，审核结论是否合理；</w:t>
      </w:r>
    </w:p>
    <w:p>
      <w:pPr>
        <w:ind w:firstLine="632" w:firstLineChars="200"/>
        <w:rPr>
          <w:rFonts w:hint="eastAsia" w:ascii="仿宋_GB2312" w:hAnsi="仿宋_GB2312" w:cs="仿宋_GB2312"/>
          <w:spacing w:val="-2"/>
          <w:sz w:val="32"/>
        </w:rPr>
      </w:pPr>
      <w:r>
        <w:rPr>
          <w:rFonts w:hint="eastAsia" w:ascii="仿宋_GB2312" w:hAnsi="仿宋_GB2312" w:cs="仿宋_GB2312"/>
          <w:spacing w:val="-2"/>
          <w:sz w:val="32"/>
        </w:rPr>
        <w:t>2.项目团队的工作是否已经按照法律法规、资产评估准则的规定执行；</w:t>
      </w:r>
    </w:p>
    <w:p>
      <w:pPr>
        <w:ind w:firstLine="632" w:firstLineChars="200"/>
        <w:rPr>
          <w:rFonts w:hint="eastAsia" w:ascii="仿宋_GB2312" w:hAnsi="仿宋_GB2312" w:cs="仿宋_GB2312"/>
          <w:spacing w:val="-2"/>
          <w:sz w:val="32"/>
        </w:rPr>
      </w:pPr>
      <w:r>
        <w:rPr>
          <w:rFonts w:hint="eastAsia" w:ascii="仿宋_GB2312" w:hAnsi="仿宋_GB2312" w:cs="仿宋_GB2312"/>
          <w:spacing w:val="-2"/>
          <w:sz w:val="32"/>
        </w:rPr>
        <w:t>3.重要事项和重大风险问题的判断和处理是否恰当，评估结论是否合理。</w:t>
      </w:r>
    </w:p>
    <w:p>
      <w:pPr>
        <w:ind w:firstLine="632" w:firstLineChars="200"/>
        <w:rPr>
          <w:rFonts w:hint="eastAsia" w:ascii="仿宋_GB2312" w:hAnsi="仿宋_GB2312" w:cs="仿宋_GB2312"/>
          <w:spacing w:val="-2"/>
          <w:sz w:val="32"/>
        </w:rPr>
      </w:pPr>
      <w:r>
        <w:rPr>
          <w:rFonts w:hint="eastAsia" w:ascii="仿宋_GB2312" w:hAnsi="仿宋_GB2312" w:cs="仿宋_GB2312"/>
          <w:spacing w:val="-2"/>
          <w:sz w:val="32"/>
        </w:rPr>
        <w:t>项目审核人员、首席评估师应当在审核记录上签署姓名及日期。</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第四十三条 中小评估机构应当制定评估报告签发及提交制度和程序，通常包括：</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（一）评估报告签发及提交流程；</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（二）发现已经提交的评估报告存在对评估结论产生重大影响的瑕疵、错误等问题时应当采取处理措施。通常包括：</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1.收回评估报告，针对发现的问题进行修改，重新提交评估报告；</w:t>
      </w:r>
    </w:p>
    <w:p>
      <w:pPr>
        <w:ind w:firstLine="632" w:firstLineChars="200"/>
        <w:rPr>
          <w:rFonts w:hint="eastAsia" w:ascii="仿宋_GB2312" w:hAnsi="仿宋_GB2312" w:cs="仿宋_GB2312"/>
          <w:spacing w:val="-2"/>
          <w:sz w:val="32"/>
        </w:rPr>
      </w:pPr>
      <w:r>
        <w:rPr>
          <w:rFonts w:hint="eastAsia" w:ascii="仿宋_GB2312" w:hAnsi="仿宋_GB2312" w:cs="仿宋_GB2312"/>
          <w:spacing w:val="-2"/>
          <w:sz w:val="32"/>
        </w:rPr>
        <w:t>2.不能收回评估报告且评估报告未使用的，应当重新出具评估报告，同时声明原评估报告作废；</w:t>
      </w:r>
    </w:p>
    <w:p>
      <w:pPr>
        <w:ind w:firstLine="632" w:firstLineChars="200"/>
        <w:rPr>
          <w:rFonts w:hint="eastAsia" w:ascii="仿宋_GB2312" w:hAnsi="仿宋_GB2312" w:cs="仿宋_GB2312"/>
          <w:spacing w:val="-2"/>
          <w:sz w:val="32"/>
        </w:rPr>
      </w:pPr>
      <w:r>
        <w:rPr>
          <w:rFonts w:hint="eastAsia" w:ascii="仿宋_GB2312" w:hAnsi="仿宋_GB2312" w:cs="仿宋_GB2312"/>
          <w:spacing w:val="-2"/>
          <w:sz w:val="32"/>
        </w:rPr>
        <w:t>3.评估报告已经使用的，应当出具正式文件说明发现的问题和产生错误的原因及正确的结果。</w:t>
      </w:r>
      <w:bookmarkStart w:id="7" w:name="_Toc332433913"/>
    </w:p>
    <w:p>
      <w:pPr>
        <w:widowControl w:val="0"/>
        <w:wordWrap/>
        <w:autoSpaceDE w:val="0"/>
        <w:autoSpaceDN w:val="0"/>
        <w:adjustRightInd w:val="0"/>
        <w:snapToGrid w:val="0"/>
        <w:spacing w:before="157" w:beforeLines="50" w:after="157" w:afterLines="50" w:line="588" w:lineRule="atLeast"/>
        <w:ind w:left="0" w:leftChars="0" w:right="0" w:firstLine="0" w:firstLineChars="0"/>
        <w:jc w:val="center"/>
        <w:textAlignment w:val="auto"/>
        <w:outlineLvl w:val="9"/>
        <w:rPr>
          <w:rFonts w:hint="eastAsia" w:ascii="仿宋_GB2312" w:hAnsi="仿宋_GB2312" w:eastAsia="仿宋_GB2312" w:cs="仿宋_GB2312"/>
          <w:b/>
          <w:bCs/>
          <w:spacing w:val="-2"/>
          <w:sz w:val="32"/>
        </w:rPr>
      </w:pPr>
      <w:r>
        <w:rPr>
          <w:rFonts w:hint="eastAsia" w:ascii="仿宋_GB2312" w:hAnsi="仿宋_GB2312" w:eastAsia="仿宋_GB2312" w:cs="仿宋_GB2312"/>
          <w:b/>
          <w:bCs/>
          <w:spacing w:val="-2"/>
          <w:sz w:val="32"/>
        </w:rPr>
        <w:t>第八章  监控和改进</w:t>
      </w:r>
      <w:bookmarkEnd w:id="7"/>
    </w:p>
    <w:p>
      <w:pPr>
        <w:ind w:firstLine="632" w:firstLineChars="200"/>
        <w:rPr>
          <w:rFonts w:hint="eastAsia" w:ascii="仿宋_GB2312" w:hAnsi="仿宋_GB2312" w:cs="仿宋_GB2312"/>
          <w:spacing w:val="-2"/>
          <w:sz w:val="32"/>
        </w:rPr>
      </w:pPr>
      <w:r>
        <w:rPr>
          <w:rFonts w:hint="eastAsia" w:ascii="仿宋_GB2312" w:hAnsi="仿宋_GB2312" w:cs="仿宋_GB2312"/>
          <w:bCs/>
          <w:spacing w:val="-2"/>
          <w:sz w:val="32"/>
        </w:rPr>
        <w:t>第四十四条 中小评估机构应当</w:t>
      </w:r>
      <w:r>
        <w:rPr>
          <w:rFonts w:hint="eastAsia" w:ascii="仿宋_GB2312" w:hAnsi="仿宋_GB2312" w:cs="仿宋_GB2312"/>
          <w:spacing w:val="-2"/>
          <w:sz w:val="32"/>
        </w:rPr>
        <w:t>对质量控制制度和程序的遵守情况进行监控，以合理保证这些制度和程序有效运行并得到及时修订。</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第四十五条 中小评估机构应当针对以下重点内容对质量控制制度和程序运行情况进行监控：</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（一）是否符合评估机构的实际；</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（二）是否达到了质量控制目标；</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（三）是否得到有效的实施和保持。</w:t>
      </w:r>
    </w:p>
    <w:p>
      <w:pPr>
        <w:ind w:firstLine="632" w:firstLineChars="200"/>
        <w:rPr>
          <w:rFonts w:hint="eastAsia" w:ascii="仿宋_GB2312" w:hAnsi="仿宋_GB2312" w:cs="仿宋_GB2312"/>
          <w:spacing w:val="-2"/>
          <w:sz w:val="32"/>
        </w:rPr>
      </w:pPr>
      <w:r>
        <w:rPr>
          <w:rFonts w:hint="eastAsia" w:ascii="仿宋_GB2312" w:hAnsi="仿宋_GB2312" w:cs="仿宋_GB2312"/>
          <w:spacing w:val="-2"/>
          <w:sz w:val="32"/>
        </w:rPr>
        <w:t>第四十六条 中小评估机构应当每年对质量控制制度和程序设计的适当性和运行的有效性进行全面自查。检查人员应当具备适当专业胜任能力和经验，参与评估业务执行的人员不得承担该项业务的检查工作。</w:t>
      </w:r>
    </w:p>
    <w:p>
      <w:pPr>
        <w:ind w:firstLine="632" w:firstLineChars="200"/>
        <w:rPr>
          <w:rFonts w:hint="eastAsia" w:ascii="仿宋_GB2312" w:hAnsi="仿宋_GB2312" w:cs="仿宋_GB2312"/>
          <w:spacing w:val="-2"/>
          <w:sz w:val="32"/>
        </w:rPr>
      </w:pPr>
      <w:r>
        <w:rPr>
          <w:rFonts w:hint="eastAsia" w:ascii="仿宋_GB2312" w:hAnsi="仿宋_GB2312" w:cs="仿宋_GB2312"/>
          <w:bCs/>
          <w:spacing w:val="-2"/>
          <w:sz w:val="32"/>
        </w:rPr>
        <w:t>第四十七条 中小评估机构应当收集、管理和利用不同渠道来源的相关信息，对质量控制制度和程序加以改进，并将改进内容传达到全体人员，确保质量控制制度和程序的有效实施。重点考虑以下内容：</w:t>
      </w:r>
    </w:p>
    <w:p>
      <w:pPr>
        <w:ind w:firstLine="632" w:firstLineChars="200"/>
        <w:rPr>
          <w:rFonts w:hint="eastAsia" w:ascii="仿宋_GB2312" w:hAnsi="仿宋_GB2312" w:cs="仿宋_GB2312"/>
          <w:bCs/>
          <w:spacing w:val="-2"/>
          <w:sz w:val="32"/>
        </w:rPr>
      </w:pPr>
      <w:r>
        <w:rPr>
          <w:rFonts w:hint="eastAsia" w:ascii="仿宋_GB2312" w:hAnsi="仿宋_GB2312" w:cs="仿宋_GB2312"/>
          <w:bCs/>
          <w:spacing w:val="-2"/>
          <w:sz w:val="32"/>
        </w:rPr>
        <w:t>（一）根据法律法规、资产评估准则的变化情况及时进行修订；</w:t>
      </w:r>
    </w:p>
    <w:p>
      <w:pPr>
        <w:ind w:firstLine="632" w:firstLineChars="200"/>
        <w:rPr>
          <w:rFonts w:hint="eastAsia" w:ascii="仿宋_GB2312" w:hAnsi="仿宋_GB2312" w:cs="仿宋_GB2312"/>
          <w:spacing w:val="-2"/>
          <w:sz w:val="32"/>
        </w:rPr>
      </w:pPr>
      <w:r>
        <w:rPr>
          <w:rFonts w:hint="eastAsia" w:ascii="仿宋_GB2312" w:hAnsi="仿宋_GB2312" w:cs="仿宋_GB2312"/>
          <w:bCs/>
          <w:spacing w:val="-2"/>
          <w:sz w:val="32"/>
        </w:rPr>
        <w:t>（二）</w:t>
      </w:r>
      <w:r>
        <w:rPr>
          <w:rFonts w:hint="eastAsia" w:ascii="仿宋_GB2312" w:hAnsi="仿宋_GB2312" w:cs="仿宋_GB2312"/>
          <w:spacing w:val="-2"/>
          <w:sz w:val="32"/>
        </w:rPr>
        <w:t>对业务执行过程中发现的执业质量问题，首席评估师应当及时与项目负责人沟通，指出问题或者不足，并提出修改制度和程序的建议；</w:t>
      </w:r>
    </w:p>
    <w:p>
      <w:pPr>
        <w:ind w:firstLine="632" w:firstLineChars="200"/>
        <w:rPr>
          <w:rFonts w:hint="eastAsia" w:ascii="仿宋_GB2312" w:hAnsi="仿宋_GB2312" w:cs="仿宋_GB2312"/>
          <w:spacing w:val="-2"/>
          <w:sz w:val="32"/>
        </w:rPr>
      </w:pPr>
      <w:r>
        <w:rPr>
          <w:rFonts w:hint="eastAsia" w:ascii="仿宋_GB2312" w:hAnsi="仿宋_GB2312" w:cs="仿宋_GB2312"/>
          <w:spacing w:val="-2"/>
          <w:sz w:val="32"/>
        </w:rPr>
        <w:t>（三）对于在质量控制制度理解方面存在的问题，应当及时对相关人员进行培训；</w:t>
      </w:r>
    </w:p>
    <w:p>
      <w:pPr>
        <w:ind w:firstLine="632" w:firstLineChars="200"/>
        <w:rPr>
          <w:rFonts w:hint="eastAsia" w:ascii="仿宋_GB2312" w:hAnsi="仿宋_GB2312" w:cs="仿宋_GB2312"/>
          <w:spacing w:val="-2"/>
          <w:sz w:val="32"/>
        </w:rPr>
      </w:pPr>
      <w:r>
        <w:rPr>
          <w:rFonts w:hint="eastAsia" w:ascii="仿宋_GB2312" w:hAnsi="仿宋_GB2312" w:cs="仿宋_GB2312"/>
          <w:bCs/>
          <w:spacing w:val="-2"/>
          <w:sz w:val="32"/>
        </w:rPr>
        <w:t>（四）</w:t>
      </w:r>
      <w:r>
        <w:rPr>
          <w:rFonts w:hint="eastAsia" w:ascii="仿宋_GB2312" w:hAnsi="仿宋_GB2312" w:cs="仿宋_GB2312"/>
          <w:spacing w:val="-2"/>
          <w:sz w:val="32"/>
        </w:rPr>
        <w:t>对于质量控制制度和程序设计上存在的缺陷或者薄弱环节，应当及时修订；</w:t>
      </w:r>
    </w:p>
    <w:p>
      <w:pPr>
        <w:ind w:firstLine="632" w:firstLineChars="200"/>
        <w:rPr>
          <w:spacing w:val="-2"/>
          <w:sz w:val="32"/>
        </w:rPr>
      </w:pPr>
      <w:r>
        <w:rPr>
          <w:rFonts w:hint="eastAsia"/>
          <w:spacing w:val="-2"/>
          <w:sz w:val="32"/>
        </w:rPr>
        <w:t>（五）对严重违反评估机构业务质量控制制度和程序的人员，应当按照本评估机构人力资源管理制度的相关规定对其进行处理。</w:t>
      </w:r>
    </w:p>
    <w:p>
      <w:pPr>
        <w:widowControl w:val="0"/>
        <w:wordWrap/>
        <w:autoSpaceDE w:val="0"/>
        <w:autoSpaceDN w:val="0"/>
        <w:adjustRightInd w:val="0"/>
        <w:snapToGrid w:val="0"/>
        <w:spacing w:before="157" w:beforeLines="50" w:after="157" w:afterLines="50" w:line="588" w:lineRule="atLeast"/>
        <w:ind w:left="0" w:leftChars="0" w:right="0" w:firstLine="0" w:firstLineChars="0"/>
        <w:jc w:val="center"/>
        <w:textAlignment w:val="auto"/>
        <w:outlineLvl w:val="9"/>
        <w:rPr>
          <w:rFonts w:hint="eastAsia" w:ascii="仿宋_GB2312" w:hAnsi="仿宋_GB2312" w:eastAsia="仿宋_GB2312" w:cs="仿宋_GB2312"/>
          <w:b/>
          <w:bCs/>
          <w:spacing w:val="-2"/>
          <w:sz w:val="32"/>
        </w:rPr>
      </w:pPr>
      <w:bookmarkStart w:id="8" w:name="_Toc332433914"/>
      <w:r>
        <w:rPr>
          <w:rFonts w:hint="eastAsia" w:ascii="仿宋_GB2312" w:hAnsi="仿宋_GB2312" w:eastAsia="仿宋_GB2312" w:cs="仿宋_GB2312"/>
          <w:b/>
          <w:bCs/>
          <w:spacing w:val="-2"/>
          <w:sz w:val="32"/>
        </w:rPr>
        <w:t>第九章  文件和记录</w:t>
      </w:r>
      <w:bookmarkEnd w:id="8"/>
    </w:p>
    <w:p>
      <w:pPr>
        <w:ind w:firstLine="632" w:firstLineChars="200"/>
        <w:rPr>
          <w:bCs/>
          <w:spacing w:val="-2"/>
          <w:sz w:val="32"/>
        </w:rPr>
      </w:pPr>
      <w:r>
        <w:rPr>
          <w:rFonts w:hint="eastAsia"/>
          <w:bCs/>
          <w:spacing w:val="-2"/>
          <w:sz w:val="32"/>
        </w:rPr>
        <w:t>第四十八条 中小评估机构应当制定文件控制制度和程序，确保质量控制制度和程序使用的文件均为有效版本，防止误用失效或者废止的文件和资料。</w:t>
      </w:r>
    </w:p>
    <w:p>
      <w:pPr>
        <w:ind w:firstLine="632" w:firstLineChars="200"/>
        <w:rPr>
          <w:bCs/>
          <w:spacing w:val="-2"/>
          <w:sz w:val="32"/>
        </w:rPr>
      </w:pPr>
      <w:r>
        <w:rPr>
          <w:rFonts w:hint="eastAsia"/>
          <w:bCs/>
          <w:spacing w:val="-2"/>
          <w:sz w:val="32"/>
        </w:rPr>
        <w:t>第四十九条 中小评估机构应当制定业务质量控制记录制度和程序，保持业务质量控制的相关记录并及时归档。</w:t>
      </w:r>
    </w:p>
    <w:p>
      <w:pPr>
        <w:ind w:firstLine="632" w:firstLineChars="200"/>
        <w:rPr>
          <w:bCs/>
          <w:spacing w:val="-2"/>
          <w:sz w:val="32"/>
        </w:rPr>
      </w:pPr>
      <w:r>
        <w:rPr>
          <w:rFonts w:hint="eastAsia"/>
          <w:bCs/>
          <w:spacing w:val="-2"/>
          <w:sz w:val="32"/>
        </w:rPr>
        <w:t>记录控制的制度和程序应当规定记录的标识、存储、保护、检索、保存期限和超期后的处置所需的控制。</w:t>
      </w:r>
    </w:p>
    <w:p>
      <w:pPr>
        <w:ind w:firstLine="632" w:firstLineChars="200"/>
        <w:rPr>
          <w:bCs/>
          <w:spacing w:val="-2"/>
          <w:sz w:val="32"/>
        </w:rPr>
      </w:pPr>
      <w:r>
        <w:rPr>
          <w:rFonts w:hint="eastAsia"/>
          <w:bCs/>
          <w:spacing w:val="-2"/>
          <w:sz w:val="32"/>
        </w:rPr>
        <w:t>第五十条 业务质量控制记录主要包括：</w:t>
      </w:r>
    </w:p>
    <w:p>
      <w:pPr>
        <w:ind w:firstLine="632" w:firstLineChars="200"/>
        <w:rPr>
          <w:rFonts w:hint="eastAsia"/>
          <w:bCs/>
          <w:spacing w:val="-2"/>
          <w:sz w:val="32"/>
        </w:rPr>
      </w:pPr>
      <w:r>
        <w:rPr>
          <w:rFonts w:hint="eastAsia"/>
          <w:bCs/>
          <w:spacing w:val="-2"/>
          <w:sz w:val="32"/>
        </w:rPr>
        <w:t>（一）人力资源管理记录；</w:t>
      </w:r>
    </w:p>
    <w:p>
      <w:pPr>
        <w:ind w:firstLine="632" w:firstLineChars="200"/>
        <w:rPr>
          <w:rFonts w:hint="eastAsia"/>
          <w:bCs/>
          <w:spacing w:val="-2"/>
          <w:sz w:val="32"/>
        </w:rPr>
      </w:pPr>
      <w:r>
        <w:rPr>
          <w:rFonts w:hint="eastAsia"/>
          <w:bCs/>
          <w:spacing w:val="-2"/>
          <w:sz w:val="32"/>
        </w:rPr>
        <w:t>（二）评估业务工作底稿；</w:t>
      </w:r>
    </w:p>
    <w:p>
      <w:pPr>
        <w:ind w:firstLine="632" w:firstLineChars="200"/>
        <w:rPr>
          <w:rFonts w:hint="eastAsia"/>
          <w:bCs/>
          <w:spacing w:val="-2"/>
          <w:sz w:val="32"/>
        </w:rPr>
      </w:pPr>
      <w:r>
        <w:rPr>
          <w:rFonts w:hint="eastAsia"/>
          <w:bCs/>
          <w:spacing w:val="-2"/>
          <w:sz w:val="32"/>
        </w:rPr>
        <w:t>（三）监控和改进记录；</w:t>
      </w:r>
    </w:p>
    <w:p>
      <w:pPr>
        <w:ind w:firstLine="632" w:firstLineChars="200"/>
        <w:rPr>
          <w:rFonts w:hint="eastAsia"/>
          <w:bCs/>
          <w:spacing w:val="-2"/>
          <w:sz w:val="32"/>
        </w:rPr>
      </w:pPr>
      <w:r>
        <w:rPr>
          <w:rFonts w:hint="eastAsia"/>
          <w:bCs/>
          <w:spacing w:val="-2"/>
          <w:sz w:val="32"/>
        </w:rPr>
        <w:t>（四）质量控制制度和程序评审记录。</w:t>
      </w:r>
    </w:p>
    <w:p>
      <w:pPr>
        <w:ind w:firstLine="632" w:firstLineChars="200"/>
        <w:rPr>
          <w:rFonts w:hint="eastAsia"/>
          <w:spacing w:val="-2"/>
          <w:sz w:val="32"/>
        </w:rPr>
      </w:pPr>
      <w:r>
        <w:rPr>
          <w:rFonts w:hint="eastAsia"/>
          <w:spacing w:val="-2"/>
          <w:sz w:val="32"/>
        </w:rPr>
        <w:t>第五十一条 业务质量控制记录应当根据重要性和必要性设计其内容，以满足法律法规、资产评估准则及相关的要求。</w:t>
      </w:r>
    </w:p>
    <w:p>
      <w:pPr>
        <w:ind w:firstLine="632" w:firstLineChars="200"/>
        <w:rPr>
          <w:rFonts w:hint="eastAsia"/>
          <w:spacing w:val="-2"/>
          <w:sz w:val="32"/>
        </w:rPr>
      </w:pPr>
    </w:p>
    <w:p>
      <w:pPr>
        <w:ind w:firstLine="632" w:firstLineChars="200"/>
        <w:rPr>
          <w:rFonts w:hint="eastAsia"/>
          <w:spacing w:val="-2"/>
          <w:sz w:val="32"/>
        </w:rPr>
      </w:pPr>
    </w:p>
    <w:p>
      <w:pPr>
        <w:ind w:firstLine="632" w:firstLineChars="200"/>
        <w:rPr>
          <w:rFonts w:hint="eastAsia"/>
          <w:spacing w:val="-2"/>
          <w:sz w:val="32"/>
        </w:rPr>
      </w:pPr>
    </w:p>
    <w:p>
      <w:pPr>
        <w:rPr>
          <w:rFonts w:ascii="仿宋_GB2312"/>
          <w:sz w:val="32"/>
          <w:szCs w:val="32"/>
        </w:rPr>
      </w:pPr>
    </w:p>
    <w:p>
      <w:pPr>
        <w:spacing w:line="440" w:lineRule="atLeast"/>
        <w:ind w:firstLine="872" w:firstLineChars="200"/>
        <w:rPr>
          <w:rFonts w:ascii="华文中宋" w:hAnsi="华文中宋" w:eastAsia="华文中宋"/>
          <w:spacing w:val="-2"/>
          <w:sz w:val="44"/>
          <w:szCs w:val="44"/>
        </w:rPr>
      </w:pPr>
    </w:p>
    <w:p>
      <w:pPr>
        <w:spacing w:line="440" w:lineRule="atLeast"/>
        <w:ind w:firstLine="872" w:firstLineChars="200"/>
        <w:rPr>
          <w:rFonts w:ascii="华文中宋" w:hAnsi="华文中宋" w:eastAsia="华文中宋"/>
          <w:spacing w:val="-2"/>
          <w:sz w:val="44"/>
          <w:szCs w:val="44"/>
        </w:rPr>
      </w:pPr>
    </w:p>
    <w:sectPr>
      <w:footerReference r:id="rId4" w:type="default"/>
      <w:footerReference r:id="rId5" w:type="even"/>
      <w:pgSz w:w="11906" w:h="16838"/>
      <w:pgMar w:top="1644" w:right="1418" w:bottom="1985" w:left="1542"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framePr w:w="2055" w:wrap="around" w:vAnchor="text" w:hAnchor="page" w:x="8440" w:y="-355"/>
      <w:spacing w:line="0" w:lineRule="atLeast"/>
      <w:ind w:right="345"/>
      <w:jc w:val="right"/>
      <w:rPr>
        <w:rStyle w:val="23"/>
      </w:rPr>
    </w:pPr>
    <w:r>
      <w:rPr>
        <w:rStyle w:val="23"/>
        <w:rFonts w:hint="eastAsia" w:ascii="仿宋_GB2312"/>
      </w:rPr>
      <w:t xml:space="preserve">— </w:t>
    </w: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r>
      <w:rPr>
        <w:rStyle w:val="23"/>
        <w:rFonts w:hint="eastAsia"/>
      </w:rPr>
      <w:t xml:space="preserve"> </w:t>
    </w:r>
    <w:r>
      <w:rPr>
        <w:rStyle w:val="23"/>
        <w:rFonts w:hint="eastAsia" w:ascii="仿宋_GB2312"/>
      </w:rPr>
      <w:t>—</w:t>
    </w:r>
  </w:p>
  <w:p>
    <w:pPr>
      <w:pStyle w:val="16"/>
      <w:tabs>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framePr w:w="1596" w:wrap="around" w:vAnchor="text" w:hAnchor="page" w:x="1885" w:y="-415"/>
      <w:jc w:val="both"/>
      <w:rPr>
        <w:rStyle w:val="23"/>
      </w:rPr>
    </w:pPr>
    <w:r>
      <w:rPr>
        <w:rStyle w:val="23"/>
        <w:rFonts w:hint="eastAsia" w:ascii="仿宋_GB2312"/>
      </w:rPr>
      <w:t xml:space="preserve">— </w:t>
    </w:r>
    <w:r>
      <w:rPr>
        <w:rStyle w:val="23"/>
      </w:rPr>
      <w:fldChar w:fldCharType="begin"/>
    </w:r>
    <w:r>
      <w:rPr>
        <w:rStyle w:val="23"/>
      </w:rPr>
      <w:instrText xml:space="preserve">PAGE  </w:instrText>
    </w:r>
    <w:r>
      <w:rPr>
        <w:rStyle w:val="23"/>
      </w:rPr>
      <w:fldChar w:fldCharType="separate"/>
    </w:r>
    <w:r>
      <w:rPr>
        <w:rStyle w:val="23"/>
      </w:rPr>
      <w:t>8</w:t>
    </w:r>
    <w:r>
      <w:rPr>
        <w:rStyle w:val="23"/>
      </w:rPr>
      <w:fldChar w:fldCharType="end"/>
    </w:r>
    <w:r>
      <w:rPr>
        <w:rStyle w:val="23"/>
        <w:rFonts w:hint="eastAsia"/>
      </w:rPr>
      <w:t xml:space="preserve"> </w:t>
    </w:r>
    <w:r>
      <w:rPr>
        <w:rStyle w:val="23"/>
        <w:rFonts w:hint="eastAsia" w:ascii="仿宋_GB2312"/>
      </w:rPr>
      <w:t>—</w:t>
    </w:r>
  </w:p>
  <w:p>
    <w:pPr>
      <w:pStyle w:val="1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802F2"/>
    <w:rsid w:val="00022CE6"/>
    <w:rsid w:val="00074A3A"/>
    <w:rsid w:val="00080E3E"/>
    <w:rsid w:val="001141EA"/>
    <w:rsid w:val="0011576B"/>
    <w:rsid w:val="00130807"/>
    <w:rsid w:val="001A3962"/>
    <w:rsid w:val="001C5FF9"/>
    <w:rsid w:val="002E7FFE"/>
    <w:rsid w:val="003225CB"/>
    <w:rsid w:val="00385ACC"/>
    <w:rsid w:val="003E5467"/>
    <w:rsid w:val="0043458A"/>
    <w:rsid w:val="004648D6"/>
    <w:rsid w:val="0047460B"/>
    <w:rsid w:val="004A03DA"/>
    <w:rsid w:val="00552141"/>
    <w:rsid w:val="005B4AEA"/>
    <w:rsid w:val="007118CA"/>
    <w:rsid w:val="007D59FD"/>
    <w:rsid w:val="009D5BE4"/>
    <w:rsid w:val="00B25D90"/>
    <w:rsid w:val="00C85755"/>
    <w:rsid w:val="00CD13C5"/>
    <w:rsid w:val="00D802F2"/>
    <w:rsid w:val="00DA4955"/>
    <w:rsid w:val="034B6875"/>
    <w:rsid w:val="05C77049"/>
    <w:rsid w:val="0B664924"/>
    <w:rsid w:val="1E21466A"/>
    <w:rsid w:val="1EA86420"/>
    <w:rsid w:val="2FD563CF"/>
    <w:rsid w:val="31CF1D43"/>
    <w:rsid w:val="329C1497"/>
    <w:rsid w:val="406F35C8"/>
    <w:rsid w:val="434774ED"/>
    <w:rsid w:val="46A11428"/>
    <w:rsid w:val="46BE4DB3"/>
    <w:rsid w:val="4A747761"/>
    <w:rsid w:val="4B0D4526"/>
    <w:rsid w:val="4D794E8F"/>
    <w:rsid w:val="501F5F01"/>
    <w:rsid w:val="54684287"/>
    <w:rsid w:val="574A1DC1"/>
    <w:rsid w:val="583220B0"/>
    <w:rsid w:val="5C5F7C1B"/>
    <w:rsid w:val="5DD067F8"/>
    <w:rsid w:val="642C6B67"/>
    <w:rsid w:val="6750098D"/>
    <w:rsid w:val="77B95F79"/>
    <w:rsid w:val="79C11BD2"/>
    <w:rsid w:val="7E8C51E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semiHidden="0" w:name="Normal Indent"/>
    <w:lsdException w:uiPriority="0" w:semiHidden="0" w:name="footnote text"/>
    <w:lsdException w:uiPriority="0" w:semiHidden="0" w:name="annotation text"/>
    <w:lsdException w:uiPriority="99" w:semiHidden="0" w:name="header"/>
    <w:lsdException w:uiPriority="0" w:semiHidden="0" w:name="footer"/>
    <w:lsdException w:uiPriority="0" w:name="index heading"/>
    <w:lsdException w:uiPriority="35" w:name="caption"/>
    <w:lsdException w:uiPriority="0" w:name="table of figures"/>
    <w:lsdException w:uiPriority="0" w:name="envelope address"/>
    <w:lsdException w:uiPriority="0" w:name="envelope return"/>
    <w:lsdException w:uiPriority="0" w:semiHidden="0" w:name="footnote reference"/>
    <w:lsdException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napToGrid w:val="0"/>
      <w:spacing w:line="588" w:lineRule="atLeast"/>
      <w:jc w:val="both"/>
    </w:pPr>
    <w:rPr>
      <w:rFonts w:ascii="宋体" w:hAnsi="宋体" w:eastAsia="仿宋_GB2312" w:cs="Times New Roman"/>
      <w:spacing w:val="6"/>
      <w:kern w:val="2"/>
      <w:sz w:val="30"/>
      <w:szCs w:val="24"/>
      <w:lang w:val="en-US" w:eastAsia="zh-CN" w:bidi="ar-SA"/>
    </w:rPr>
  </w:style>
  <w:style w:type="paragraph" w:styleId="2">
    <w:name w:val="heading 1"/>
    <w:basedOn w:val="1"/>
    <w:next w:val="1"/>
    <w:link w:val="33"/>
    <w:qFormat/>
    <w:uiPriority w:val="9"/>
    <w:pPr>
      <w:keepNext/>
      <w:widowControl/>
      <w:adjustRightInd/>
      <w:snapToGrid/>
      <w:spacing w:before="240" w:after="60" w:line="240" w:lineRule="auto"/>
      <w:jc w:val="left"/>
      <w:outlineLvl w:val="0"/>
    </w:pPr>
    <w:rPr>
      <w:rFonts w:ascii="Cambria" w:hAnsi="Cambria" w:eastAsia="宋体" w:cs="黑体"/>
      <w:b/>
      <w:bCs/>
      <w:spacing w:val="0"/>
      <w:kern w:val="32"/>
      <w:sz w:val="32"/>
      <w:szCs w:val="32"/>
    </w:rPr>
  </w:style>
  <w:style w:type="paragraph" w:styleId="3">
    <w:name w:val="heading 2"/>
    <w:basedOn w:val="1"/>
    <w:next w:val="1"/>
    <w:link w:val="34"/>
    <w:unhideWhenUsed/>
    <w:qFormat/>
    <w:uiPriority w:val="9"/>
    <w:pPr>
      <w:keepNext/>
      <w:widowControl/>
      <w:adjustRightInd/>
      <w:snapToGrid/>
      <w:spacing w:before="240" w:after="60" w:line="240" w:lineRule="auto"/>
      <w:jc w:val="left"/>
      <w:outlineLvl w:val="1"/>
    </w:pPr>
    <w:rPr>
      <w:rFonts w:ascii="Cambria" w:hAnsi="Cambria" w:eastAsia="宋体" w:cs="黑体"/>
      <w:b/>
      <w:bCs/>
      <w:i/>
      <w:iCs/>
      <w:spacing w:val="0"/>
      <w:kern w:val="0"/>
      <w:sz w:val="28"/>
      <w:szCs w:val="28"/>
    </w:rPr>
  </w:style>
  <w:style w:type="paragraph" w:styleId="4">
    <w:name w:val="heading 3"/>
    <w:basedOn w:val="1"/>
    <w:next w:val="1"/>
    <w:link w:val="35"/>
    <w:unhideWhenUsed/>
    <w:qFormat/>
    <w:uiPriority w:val="9"/>
    <w:pPr>
      <w:keepNext/>
      <w:widowControl/>
      <w:adjustRightInd/>
      <w:snapToGrid/>
      <w:spacing w:before="240" w:after="60" w:line="240" w:lineRule="auto"/>
      <w:jc w:val="left"/>
      <w:outlineLvl w:val="2"/>
    </w:pPr>
    <w:rPr>
      <w:rFonts w:ascii="Cambria" w:hAnsi="Cambria" w:eastAsia="宋体" w:cs="黑体"/>
      <w:b/>
      <w:bCs/>
      <w:spacing w:val="0"/>
      <w:kern w:val="0"/>
      <w:sz w:val="26"/>
      <w:szCs w:val="26"/>
    </w:rPr>
  </w:style>
  <w:style w:type="paragraph" w:styleId="5">
    <w:name w:val="heading 4"/>
    <w:basedOn w:val="1"/>
    <w:next w:val="1"/>
    <w:link w:val="36"/>
    <w:unhideWhenUsed/>
    <w:qFormat/>
    <w:uiPriority w:val="9"/>
    <w:pPr>
      <w:keepNext/>
      <w:widowControl/>
      <w:adjustRightInd/>
      <w:snapToGrid/>
      <w:spacing w:before="240" w:after="60" w:line="240" w:lineRule="auto"/>
      <w:jc w:val="left"/>
      <w:outlineLvl w:val="3"/>
    </w:pPr>
    <w:rPr>
      <w:rFonts w:ascii="Calibri" w:hAnsi="Calibri" w:eastAsia="宋体" w:cs="黑体"/>
      <w:b/>
      <w:bCs/>
      <w:spacing w:val="0"/>
      <w:kern w:val="0"/>
      <w:sz w:val="28"/>
      <w:szCs w:val="28"/>
    </w:rPr>
  </w:style>
  <w:style w:type="paragraph" w:styleId="6">
    <w:name w:val="heading 5"/>
    <w:basedOn w:val="1"/>
    <w:next w:val="1"/>
    <w:link w:val="37"/>
    <w:unhideWhenUsed/>
    <w:qFormat/>
    <w:uiPriority w:val="9"/>
    <w:pPr>
      <w:widowControl/>
      <w:adjustRightInd/>
      <w:snapToGrid/>
      <w:spacing w:before="240" w:after="60" w:line="240" w:lineRule="auto"/>
      <w:jc w:val="left"/>
      <w:outlineLvl w:val="4"/>
    </w:pPr>
    <w:rPr>
      <w:rFonts w:ascii="Calibri" w:hAnsi="Calibri" w:eastAsia="宋体" w:cs="黑体"/>
      <w:b/>
      <w:bCs/>
      <w:i/>
      <w:iCs/>
      <w:spacing w:val="0"/>
      <w:kern w:val="0"/>
      <w:sz w:val="26"/>
      <w:szCs w:val="26"/>
    </w:rPr>
  </w:style>
  <w:style w:type="paragraph" w:styleId="7">
    <w:name w:val="heading 6"/>
    <w:basedOn w:val="1"/>
    <w:next w:val="1"/>
    <w:link w:val="38"/>
    <w:unhideWhenUsed/>
    <w:qFormat/>
    <w:uiPriority w:val="9"/>
    <w:pPr>
      <w:widowControl/>
      <w:adjustRightInd/>
      <w:snapToGrid/>
      <w:spacing w:before="240" w:after="60" w:line="240" w:lineRule="auto"/>
      <w:jc w:val="left"/>
      <w:outlineLvl w:val="5"/>
    </w:pPr>
    <w:rPr>
      <w:rFonts w:ascii="Calibri" w:hAnsi="Calibri" w:eastAsia="宋体" w:cs="黑体"/>
      <w:b/>
      <w:bCs/>
      <w:spacing w:val="0"/>
      <w:kern w:val="0"/>
      <w:sz w:val="22"/>
      <w:szCs w:val="22"/>
    </w:rPr>
  </w:style>
  <w:style w:type="paragraph" w:styleId="8">
    <w:name w:val="heading 7"/>
    <w:basedOn w:val="1"/>
    <w:next w:val="1"/>
    <w:link w:val="39"/>
    <w:unhideWhenUsed/>
    <w:qFormat/>
    <w:uiPriority w:val="9"/>
    <w:pPr>
      <w:widowControl/>
      <w:adjustRightInd/>
      <w:snapToGrid/>
      <w:spacing w:before="240" w:after="60" w:line="240" w:lineRule="auto"/>
      <w:jc w:val="left"/>
      <w:outlineLvl w:val="6"/>
    </w:pPr>
    <w:rPr>
      <w:rFonts w:ascii="Calibri" w:hAnsi="Calibri" w:eastAsia="宋体" w:cs="黑体"/>
      <w:spacing w:val="0"/>
      <w:kern w:val="0"/>
      <w:sz w:val="24"/>
    </w:rPr>
  </w:style>
  <w:style w:type="paragraph" w:styleId="9">
    <w:name w:val="heading 8"/>
    <w:basedOn w:val="1"/>
    <w:next w:val="1"/>
    <w:link w:val="40"/>
    <w:unhideWhenUsed/>
    <w:qFormat/>
    <w:uiPriority w:val="9"/>
    <w:pPr>
      <w:widowControl/>
      <w:adjustRightInd/>
      <w:snapToGrid/>
      <w:spacing w:before="240" w:after="60" w:line="240" w:lineRule="auto"/>
      <w:jc w:val="left"/>
      <w:outlineLvl w:val="7"/>
    </w:pPr>
    <w:rPr>
      <w:rFonts w:ascii="Calibri" w:hAnsi="Calibri" w:eastAsia="宋体" w:cs="黑体"/>
      <w:i/>
      <w:iCs/>
      <w:spacing w:val="0"/>
      <w:kern w:val="0"/>
      <w:sz w:val="24"/>
    </w:rPr>
  </w:style>
  <w:style w:type="paragraph" w:styleId="10">
    <w:name w:val="heading 9"/>
    <w:basedOn w:val="1"/>
    <w:next w:val="1"/>
    <w:link w:val="41"/>
    <w:unhideWhenUsed/>
    <w:qFormat/>
    <w:uiPriority w:val="9"/>
    <w:pPr>
      <w:widowControl/>
      <w:adjustRightInd/>
      <w:snapToGrid/>
      <w:spacing w:before="240" w:after="60" w:line="240" w:lineRule="auto"/>
      <w:jc w:val="left"/>
      <w:outlineLvl w:val="8"/>
    </w:pPr>
    <w:rPr>
      <w:rFonts w:ascii="Cambria" w:hAnsi="Cambria" w:eastAsia="宋体" w:cs="黑体"/>
      <w:spacing w:val="0"/>
      <w:kern w:val="0"/>
      <w:sz w:val="22"/>
      <w:szCs w:val="22"/>
    </w:rPr>
  </w:style>
  <w:style w:type="character" w:default="1" w:styleId="21">
    <w:name w:val="Default Paragraph Font"/>
    <w:unhideWhenUsed/>
    <w:uiPriority w:val="1"/>
  </w:style>
  <w:style w:type="table" w:default="1" w:styleId="27">
    <w:name w:val="Normal Table"/>
    <w:unhideWhenUsed/>
    <w:uiPriority w:val="99"/>
    <w:tblPr>
      <w:tblStyle w:val="27"/>
      <w:tblLayout w:type="fixed"/>
      <w:tblCellMar>
        <w:top w:w="0" w:type="dxa"/>
        <w:left w:w="108" w:type="dxa"/>
        <w:bottom w:w="0" w:type="dxa"/>
        <w:right w:w="108" w:type="dxa"/>
      </w:tblCellMar>
    </w:tblPr>
    <w:tcPr>
      <w:textDirection w:val="lrTb"/>
    </w:tcPr>
  </w:style>
  <w:style w:type="paragraph" w:styleId="11">
    <w:name w:val="annotation subject"/>
    <w:basedOn w:val="12"/>
    <w:next w:val="12"/>
    <w:link w:val="55"/>
    <w:unhideWhenUsed/>
    <w:uiPriority w:val="0"/>
    <w:rPr>
      <w:b/>
      <w:bCs/>
    </w:rPr>
  </w:style>
  <w:style w:type="paragraph" w:styleId="12">
    <w:name w:val="annotation text"/>
    <w:basedOn w:val="1"/>
    <w:link w:val="54"/>
    <w:unhideWhenUsed/>
    <w:uiPriority w:val="0"/>
    <w:pPr>
      <w:jc w:val="left"/>
    </w:pPr>
  </w:style>
  <w:style w:type="paragraph" w:styleId="13">
    <w:name w:val="Normal Indent"/>
    <w:basedOn w:val="1"/>
    <w:unhideWhenUsed/>
    <w:uiPriority w:val="0"/>
    <w:pPr>
      <w:spacing w:line="360" w:lineRule="atLeast"/>
      <w:ind w:firstLine="425"/>
      <w:textAlignment w:val="baseline"/>
    </w:pPr>
    <w:rPr>
      <w:rFonts w:hAnsi="Times New Roman"/>
      <w:kern w:val="0"/>
      <w:sz w:val="24"/>
      <w:szCs w:val="20"/>
    </w:rPr>
  </w:style>
  <w:style w:type="paragraph" w:styleId="14">
    <w:name w:val="Body Text"/>
    <w:basedOn w:val="1"/>
    <w:link w:val="53"/>
    <w:uiPriority w:val="0"/>
  </w:style>
  <w:style w:type="paragraph" w:styleId="15">
    <w:name w:val="Balloon Text"/>
    <w:basedOn w:val="1"/>
    <w:link w:val="56"/>
    <w:unhideWhenUsed/>
    <w:uiPriority w:val="0"/>
    <w:pPr>
      <w:spacing w:line="240" w:lineRule="auto"/>
    </w:pPr>
    <w:rPr>
      <w:sz w:val="18"/>
      <w:szCs w:val="18"/>
    </w:rPr>
  </w:style>
  <w:style w:type="paragraph" w:styleId="16">
    <w:name w:val="footer"/>
    <w:basedOn w:val="1"/>
    <w:link w:val="52"/>
    <w:unhideWhenUsed/>
    <w:uiPriority w:val="0"/>
    <w:pPr>
      <w:widowControl/>
      <w:tabs>
        <w:tab w:val="center" w:pos="4153"/>
        <w:tab w:val="right" w:pos="8306"/>
      </w:tabs>
      <w:adjustRightInd/>
      <w:spacing w:line="240" w:lineRule="auto"/>
      <w:jc w:val="left"/>
    </w:pPr>
    <w:rPr>
      <w:rFonts w:ascii="Calibri" w:hAnsi="Calibri" w:eastAsia="宋体"/>
      <w:spacing w:val="0"/>
      <w:kern w:val="0"/>
      <w:sz w:val="18"/>
      <w:szCs w:val="18"/>
    </w:rPr>
  </w:style>
  <w:style w:type="paragraph" w:styleId="17">
    <w:name w:val="header"/>
    <w:basedOn w:val="1"/>
    <w:link w:val="51"/>
    <w:unhideWhenUsed/>
    <w:uiPriority w:val="99"/>
    <w:pPr>
      <w:widowControl/>
      <w:pBdr>
        <w:bottom w:val="single" w:color="auto" w:sz="6" w:space="1"/>
      </w:pBdr>
      <w:tabs>
        <w:tab w:val="center" w:pos="4153"/>
        <w:tab w:val="right" w:pos="8306"/>
      </w:tabs>
      <w:adjustRightInd/>
      <w:spacing w:line="240" w:lineRule="auto"/>
      <w:jc w:val="center"/>
    </w:pPr>
    <w:rPr>
      <w:rFonts w:ascii="Calibri" w:hAnsi="Calibri" w:eastAsia="宋体"/>
      <w:spacing w:val="0"/>
      <w:kern w:val="0"/>
      <w:sz w:val="18"/>
      <w:szCs w:val="18"/>
    </w:rPr>
  </w:style>
  <w:style w:type="paragraph" w:styleId="18">
    <w:name w:val="Subtitle"/>
    <w:basedOn w:val="1"/>
    <w:next w:val="1"/>
    <w:link w:val="43"/>
    <w:qFormat/>
    <w:uiPriority w:val="11"/>
    <w:pPr>
      <w:widowControl/>
      <w:adjustRightInd/>
      <w:snapToGrid/>
      <w:spacing w:after="60" w:line="240" w:lineRule="auto"/>
      <w:jc w:val="center"/>
      <w:outlineLvl w:val="1"/>
    </w:pPr>
    <w:rPr>
      <w:rFonts w:ascii="Cambria" w:hAnsi="Cambria" w:eastAsia="宋体" w:cs="黑体"/>
      <w:spacing w:val="0"/>
      <w:kern w:val="0"/>
      <w:sz w:val="24"/>
    </w:rPr>
  </w:style>
  <w:style w:type="paragraph" w:styleId="19">
    <w:name w:val="footnote text"/>
    <w:basedOn w:val="1"/>
    <w:unhideWhenUsed/>
    <w:uiPriority w:val="0"/>
    <w:pPr>
      <w:jc w:val="left"/>
    </w:pPr>
    <w:rPr>
      <w:sz w:val="18"/>
      <w:szCs w:val="18"/>
    </w:rPr>
  </w:style>
  <w:style w:type="paragraph" w:styleId="20">
    <w:name w:val="Title"/>
    <w:basedOn w:val="1"/>
    <w:next w:val="1"/>
    <w:link w:val="42"/>
    <w:qFormat/>
    <w:uiPriority w:val="10"/>
    <w:pPr>
      <w:widowControl/>
      <w:adjustRightInd/>
      <w:snapToGrid/>
      <w:spacing w:before="240" w:after="60" w:line="240" w:lineRule="auto"/>
      <w:jc w:val="center"/>
      <w:outlineLvl w:val="0"/>
    </w:pPr>
    <w:rPr>
      <w:rFonts w:ascii="Cambria" w:hAnsi="Cambria" w:eastAsia="宋体" w:cs="黑体"/>
      <w:b/>
      <w:bCs/>
      <w:spacing w:val="0"/>
      <w:kern w:val="28"/>
      <w:sz w:val="32"/>
      <w:szCs w:val="32"/>
    </w:rPr>
  </w:style>
  <w:style w:type="character" w:styleId="22">
    <w:name w:val="Strong"/>
    <w:qFormat/>
    <w:uiPriority w:val="22"/>
    <w:rPr>
      <w:b/>
      <w:bCs/>
    </w:rPr>
  </w:style>
  <w:style w:type="character" w:styleId="23">
    <w:name w:val="page number"/>
    <w:basedOn w:val="21"/>
    <w:uiPriority w:val="0"/>
    <w:rPr/>
  </w:style>
  <w:style w:type="character" w:styleId="24">
    <w:name w:val="Emphasis"/>
    <w:qFormat/>
    <w:uiPriority w:val="20"/>
    <w:rPr>
      <w:rFonts w:ascii="Calibri" w:hAnsi="Calibri"/>
      <w:b/>
      <w:i/>
      <w:iCs/>
    </w:rPr>
  </w:style>
  <w:style w:type="character" w:styleId="25">
    <w:name w:val="annotation reference"/>
    <w:unhideWhenUsed/>
    <w:uiPriority w:val="0"/>
    <w:rPr>
      <w:sz w:val="21"/>
      <w:szCs w:val="21"/>
    </w:rPr>
  </w:style>
  <w:style w:type="character" w:styleId="26">
    <w:name w:val="footnote reference"/>
    <w:unhideWhenUsed/>
    <w:uiPriority w:val="0"/>
    <w:rPr>
      <w:vertAlign w:val="superscript"/>
    </w:rPr>
  </w:style>
  <w:style w:type="paragraph" w:customStyle="1" w:styleId="28">
    <w:name w:val="列出段落1"/>
    <w:basedOn w:val="1"/>
    <w:qFormat/>
    <w:uiPriority w:val="34"/>
    <w:pPr>
      <w:widowControl/>
      <w:adjustRightInd/>
      <w:snapToGrid/>
      <w:spacing w:line="240" w:lineRule="auto"/>
      <w:ind w:left="720"/>
      <w:contextualSpacing/>
      <w:jc w:val="left"/>
    </w:pPr>
    <w:rPr>
      <w:rFonts w:ascii="Calibri" w:hAnsi="Calibri" w:eastAsia="宋体"/>
      <w:spacing w:val="0"/>
      <w:kern w:val="0"/>
      <w:sz w:val="24"/>
    </w:rPr>
  </w:style>
  <w:style w:type="paragraph" w:customStyle="1" w:styleId="29">
    <w:name w:val="无间隔1"/>
    <w:basedOn w:val="1"/>
    <w:qFormat/>
    <w:uiPriority w:val="1"/>
    <w:pPr>
      <w:widowControl/>
      <w:adjustRightInd/>
      <w:snapToGrid/>
      <w:spacing w:line="240" w:lineRule="auto"/>
      <w:jc w:val="left"/>
    </w:pPr>
    <w:rPr>
      <w:rFonts w:ascii="Calibri" w:hAnsi="Calibri" w:eastAsia="宋体"/>
      <w:spacing w:val="0"/>
      <w:kern w:val="0"/>
      <w:sz w:val="24"/>
      <w:szCs w:val="32"/>
    </w:rPr>
  </w:style>
  <w:style w:type="paragraph" w:customStyle="1" w:styleId="30">
    <w:name w:val="引用1"/>
    <w:basedOn w:val="1"/>
    <w:next w:val="1"/>
    <w:link w:val="44"/>
    <w:qFormat/>
    <w:uiPriority w:val="29"/>
    <w:pPr>
      <w:widowControl/>
      <w:adjustRightInd/>
      <w:snapToGrid/>
      <w:spacing w:line="240" w:lineRule="auto"/>
      <w:jc w:val="left"/>
    </w:pPr>
    <w:rPr>
      <w:rFonts w:ascii="Calibri" w:hAnsi="Calibri" w:eastAsia="宋体"/>
      <w:i/>
      <w:spacing w:val="0"/>
      <w:kern w:val="0"/>
      <w:sz w:val="24"/>
    </w:rPr>
  </w:style>
  <w:style w:type="paragraph" w:customStyle="1" w:styleId="31">
    <w:name w:val="明显引用1"/>
    <w:basedOn w:val="1"/>
    <w:next w:val="1"/>
    <w:link w:val="45"/>
    <w:qFormat/>
    <w:uiPriority w:val="30"/>
    <w:pPr>
      <w:widowControl/>
      <w:adjustRightInd/>
      <w:snapToGrid/>
      <w:spacing w:line="240" w:lineRule="auto"/>
      <w:ind w:left="720" w:right="720"/>
      <w:jc w:val="left"/>
    </w:pPr>
    <w:rPr>
      <w:rFonts w:ascii="Calibri" w:hAnsi="Calibri" w:eastAsia="宋体"/>
      <w:b/>
      <w:i/>
      <w:spacing w:val="0"/>
      <w:kern w:val="0"/>
      <w:sz w:val="24"/>
      <w:szCs w:val="22"/>
    </w:rPr>
  </w:style>
  <w:style w:type="paragraph" w:customStyle="1" w:styleId="32">
    <w:name w:val="TOC 标题1"/>
    <w:basedOn w:val="2"/>
    <w:next w:val="1"/>
    <w:unhideWhenUsed/>
    <w:qFormat/>
    <w:uiPriority w:val="39"/>
    <w:pPr>
      <w:outlineLvl w:val="9"/>
    </w:pPr>
  </w:style>
  <w:style w:type="character" w:customStyle="1" w:styleId="33">
    <w:name w:val="标题 1 Char"/>
    <w:link w:val="2"/>
    <w:uiPriority w:val="9"/>
    <w:rPr>
      <w:rFonts w:ascii="Cambria" w:hAnsi="Cambria" w:eastAsia="宋体" w:cs="黑体"/>
      <w:b/>
      <w:bCs/>
      <w:kern w:val="32"/>
      <w:sz w:val="32"/>
      <w:szCs w:val="32"/>
    </w:rPr>
  </w:style>
  <w:style w:type="character" w:customStyle="1" w:styleId="34">
    <w:name w:val="标题 2 Char"/>
    <w:link w:val="3"/>
    <w:semiHidden/>
    <w:uiPriority w:val="9"/>
    <w:rPr>
      <w:rFonts w:ascii="Cambria" w:hAnsi="Cambria" w:eastAsia="宋体" w:cs="黑体"/>
      <w:b/>
      <w:bCs/>
      <w:i/>
      <w:iCs/>
      <w:sz w:val="28"/>
      <w:szCs w:val="28"/>
    </w:rPr>
  </w:style>
  <w:style w:type="character" w:customStyle="1" w:styleId="35">
    <w:name w:val="标题 3 Char"/>
    <w:link w:val="4"/>
    <w:semiHidden/>
    <w:uiPriority w:val="9"/>
    <w:rPr>
      <w:rFonts w:ascii="Cambria" w:hAnsi="Cambria" w:eastAsia="宋体" w:cs="黑体"/>
      <w:b/>
      <w:bCs/>
      <w:sz w:val="26"/>
      <w:szCs w:val="26"/>
    </w:rPr>
  </w:style>
  <w:style w:type="character" w:customStyle="1" w:styleId="36">
    <w:name w:val="标题 4 Char"/>
    <w:link w:val="5"/>
    <w:semiHidden/>
    <w:uiPriority w:val="9"/>
    <w:rPr>
      <w:rFonts w:cs="黑体"/>
      <w:b/>
      <w:bCs/>
      <w:sz w:val="28"/>
      <w:szCs w:val="28"/>
    </w:rPr>
  </w:style>
  <w:style w:type="character" w:customStyle="1" w:styleId="37">
    <w:name w:val="标题 5 Char"/>
    <w:link w:val="6"/>
    <w:semiHidden/>
    <w:uiPriority w:val="9"/>
    <w:rPr>
      <w:rFonts w:cs="黑体"/>
      <w:b/>
      <w:bCs/>
      <w:i/>
      <w:iCs/>
      <w:sz w:val="26"/>
      <w:szCs w:val="26"/>
    </w:rPr>
  </w:style>
  <w:style w:type="character" w:customStyle="1" w:styleId="38">
    <w:name w:val="标题 6 Char"/>
    <w:link w:val="7"/>
    <w:semiHidden/>
    <w:uiPriority w:val="9"/>
    <w:rPr>
      <w:rFonts w:cs="黑体"/>
      <w:b/>
      <w:bCs/>
    </w:rPr>
  </w:style>
  <w:style w:type="character" w:customStyle="1" w:styleId="39">
    <w:name w:val="标题 7 Char"/>
    <w:link w:val="8"/>
    <w:semiHidden/>
    <w:uiPriority w:val="9"/>
    <w:rPr>
      <w:rFonts w:cs="黑体"/>
      <w:sz w:val="24"/>
      <w:szCs w:val="24"/>
    </w:rPr>
  </w:style>
  <w:style w:type="character" w:customStyle="1" w:styleId="40">
    <w:name w:val="标题 8 Char"/>
    <w:link w:val="9"/>
    <w:semiHidden/>
    <w:uiPriority w:val="9"/>
    <w:rPr>
      <w:rFonts w:cs="黑体"/>
      <w:i/>
      <w:iCs/>
      <w:sz w:val="24"/>
      <w:szCs w:val="24"/>
    </w:rPr>
  </w:style>
  <w:style w:type="character" w:customStyle="1" w:styleId="41">
    <w:name w:val="标题 9 Char"/>
    <w:link w:val="10"/>
    <w:semiHidden/>
    <w:uiPriority w:val="9"/>
    <w:rPr>
      <w:rFonts w:ascii="Cambria" w:hAnsi="Cambria" w:eastAsia="宋体" w:cs="黑体"/>
    </w:rPr>
  </w:style>
  <w:style w:type="character" w:customStyle="1" w:styleId="42">
    <w:name w:val="标题 Char"/>
    <w:link w:val="20"/>
    <w:uiPriority w:val="10"/>
    <w:rPr>
      <w:rFonts w:ascii="Cambria" w:hAnsi="Cambria" w:eastAsia="宋体" w:cs="黑体"/>
      <w:b/>
      <w:bCs/>
      <w:kern w:val="28"/>
      <w:sz w:val="32"/>
      <w:szCs w:val="32"/>
    </w:rPr>
  </w:style>
  <w:style w:type="character" w:customStyle="1" w:styleId="43">
    <w:name w:val="副标题 Char"/>
    <w:link w:val="18"/>
    <w:uiPriority w:val="11"/>
    <w:rPr>
      <w:rFonts w:ascii="Cambria" w:hAnsi="Cambria" w:eastAsia="宋体" w:cs="黑体"/>
      <w:sz w:val="24"/>
      <w:szCs w:val="24"/>
    </w:rPr>
  </w:style>
  <w:style w:type="character" w:customStyle="1" w:styleId="44">
    <w:name w:val="引用 Char"/>
    <w:link w:val="30"/>
    <w:uiPriority w:val="29"/>
    <w:rPr>
      <w:i/>
      <w:sz w:val="24"/>
      <w:szCs w:val="24"/>
    </w:rPr>
  </w:style>
  <w:style w:type="character" w:customStyle="1" w:styleId="45">
    <w:name w:val="明显引用 Char"/>
    <w:link w:val="31"/>
    <w:uiPriority w:val="30"/>
    <w:rPr>
      <w:b/>
      <w:i/>
      <w:sz w:val="24"/>
    </w:rPr>
  </w:style>
  <w:style w:type="character" w:customStyle="1" w:styleId="46">
    <w:name w:val="不明显强调1"/>
    <w:qFormat/>
    <w:uiPriority w:val="19"/>
    <w:rPr>
      <w:i/>
      <w:color w:val="595959"/>
    </w:rPr>
  </w:style>
  <w:style w:type="character" w:customStyle="1" w:styleId="47">
    <w:name w:val="明显强调1"/>
    <w:qFormat/>
    <w:uiPriority w:val="21"/>
    <w:rPr>
      <w:b/>
      <w:i/>
      <w:sz w:val="24"/>
      <w:szCs w:val="24"/>
      <w:u w:val="single"/>
    </w:rPr>
  </w:style>
  <w:style w:type="character" w:customStyle="1" w:styleId="48">
    <w:name w:val="不明显参考1"/>
    <w:qFormat/>
    <w:uiPriority w:val="31"/>
    <w:rPr>
      <w:sz w:val="24"/>
      <w:szCs w:val="24"/>
      <w:u w:val="single"/>
    </w:rPr>
  </w:style>
  <w:style w:type="character" w:customStyle="1" w:styleId="49">
    <w:name w:val="明显参考1"/>
    <w:qFormat/>
    <w:uiPriority w:val="32"/>
    <w:rPr>
      <w:b/>
      <w:sz w:val="24"/>
      <w:u w:val="single"/>
    </w:rPr>
  </w:style>
  <w:style w:type="character" w:customStyle="1" w:styleId="50">
    <w:name w:val="书籍标题1"/>
    <w:qFormat/>
    <w:uiPriority w:val="33"/>
    <w:rPr>
      <w:rFonts w:ascii="Cambria" w:hAnsi="Cambria" w:eastAsia="宋体"/>
      <w:b/>
      <w:i/>
      <w:sz w:val="24"/>
      <w:szCs w:val="24"/>
    </w:rPr>
  </w:style>
  <w:style w:type="character" w:customStyle="1" w:styleId="51">
    <w:name w:val="页眉 Char"/>
    <w:link w:val="17"/>
    <w:uiPriority w:val="99"/>
    <w:rPr>
      <w:sz w:val="18"/>
      <w:szCs w:val="18"/>
    </w:rPr>
  </w:style>
  <w:style w:type="character" w:customStyle="1" w:styleId="52">
    <w:name w:val="页脚 Char"/>
    <w:link w:val="16"/>
    <w:uiPriority w:val="99"/>
    <w:rPr>
      <w:sz w:val="18"/>
      <w:szCs w:val="18"/>
    </w:rPr>
  </w:style>
  <w:style w:type="character" w:customStyle="1" w:styleId="53">
    <w:name w:val="正文文本 Char"/>
    <w:link w:val="14"/>
    <w:uiPriority w:val="0"/>
    <w:rPr>
      <w:rFonts w:ascii="宋体" w:hAnsi="宋体" w:eastAsia="仿宋_GB2312"/>
      <w:spacing w:val="6"/>
      <w:kern w:val="2"/>
      <w:sz w:val="30"/>
      <w:szCs w:val="24"/>
    </w:rPr>
  </w:style>
  <w:style w:type="character" w:customStyle="1" w:styleId="54">
    <w:name w:val="批注文字 Char"/>
    <w:link w:val="12"/>
    <w:semiHidden/>
    <w:uiPriority w:val="0"/>
    <w:rPr>
      <w:rFonts w:ascii="宋体" w:hAnsi="宋体" w:eastAsia="仿宋_GB2312"/>
      <w:spacing w:val="6"/>
      <w:kern w:val="2"/>
      <w:sz w:val="30"/>
      <w:szCs w:val="24"/>
    </w:rPr>
  </w:style>
  <w:style w:type="character" w:customStyle="1" w:styleId="55">
    <w:name w:val="批注主题 Char"/>
    <w:link w:val="11"/>
    <w:semiHidden/>
    <w:uiPriority w:val="0"/>
    <w:rPr>
      <w:rFonts w:ascii="宋体" w:hAnsi="宋体" w:eastAsia="仿宋_GB2312"/>
      <w:b/>
      <w:bCs/>
      <w:spacing w:val="6"/>
      <w:kern w:val="2"/>
      <w:sz w:val="30"/>
      <w:szCs w:val="24"/>
    </w:rPr>
  </w:style>
  <w:style w:type="character" w:customStyle="1" w:styleId="56">
    <w:name w:val="批注框文本 Char"/>
    <w:link w:val="15"/>
    <w:semiHidden/>
    <w:uiPriority w:val="0"/>
    <w:rPr>
      <w:rFonts w:ascii="宋体" w:hAnsi="宋体" w:eastAsia="仿宋_GB2312"/>
      <w:spacing w:val="6"/>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22</Pages>
  <Words>1655</Words>
  <Characters>9437</Characters>
  <Lines>78</Lines>
  <Paragraphs>22</Paragraphs>
  <ScaleCrop>false</ScaleCrop>
  <LinksUpToDate>false</LinksUpToDate>
  <CharactersWithSpaces>0</CharactersWithSpaces>
  <Application>WPS Office_9.1.0.5184_F1E327BC-269C-435d-A152-05C5408002CA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2015-05-20T08:49:00Z</dcterms:created>
  <dc:creator>杜斯达</dc:creator>
  <cp:lastModifiedBy>刘胜飞</cp:lastModifiedBy>
  <cp:lastPrinted>2015-08-04T01:47:00Z</cp:lastPrinted>
  <dcterms:modified xsi:type="dcterms:W3CDTF">2015-08-27T02:03:39Z</dcterms:modified>
  <dc:title>中评协〔2015〕   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