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20" w:after="120"/>
        <w:rPr>
          <w:rFonts w:ascii="黑体" w:hAnsi="黑体" w:eastAsia="黑体" w:cs="黑体"/>
          <w:b w:val="0"/>
          <w:bCs w:val="0"/>
          <w:sz w:val="28"/>
          <w:szCs w:val="28"/>
        </w:rPr>
      </w:pPr>
      <w:bookmarkStart w:id="0" w:name="_Toc27574726"/>
      <w:r>
        <w:rPr>
          <w:rFonts w:hint="eastAsia" w:ascii="黑体" w:hAnsi="黑体" w:eastAsia="黑体" w:cs="黑体"/>
          <w:b w:val="0"/>
          <w:bCs w:val="0"/>
          <w:sz w:val="28"/>
          <w:szCs w:val="28"/>
        </w:rPr>
        <w:t>附件：</w:t>
      </w:r>
    </w:p>
    <w:p>
      <w:pPr>
        <w:pStyle w:val="2"/>
        <w:spacing w:before="120" w:after="120"/>
        <w:jc w:val="center"/>
      </w:pPr>
    </w:p>
    <w:p>
      <w:pPr>
        <w:pStyle w:val="2"/>
        <w:spacing w:before="120" w:after="120"/>
        <w:jc w:val="center"/>
      </w:pPr>
      <w:r>
        <w:rPr>
          <w:rFonts w:hint="eastAsia"/>
        </w:rPr>
        <w:t>企业安全生产费用提取和使用管理办法</w:t>
      </w:r>
      <w:bookmarkEnd w:id="0"/>
    </w:p>
    <w:p>
      <w:pPr>
        <w:widowControl/>
        <w:jc w:val="center"/>
        <w:rPr>
          <w:rFonts w:ascii="仿宋" w:hAnsi="仿宋" w:eastAsia="仿宋" w:cs="宋体"/>
          <w:bCs/>
          <w:kern w:val="0"/>
          <w:sz w:val="32"/>
          <w:szCs w:val="32"/>
        </w:rPr>
      </w:pPr>
      <w:bookmarkStart w:id="1" w:name="_Toc894692189_WPSOffice_Level1"/>
    </w:p>
    <w:p>
      <w:pPr>
        <w:widowControl/>
        <w:jc w:val="center"/>
        <w:rPr>
          <w:rFonts w:ascii="黑体" w:hAnsi="黑体" w:eastAsia="黑体" w:cs="黑体"/>
          <w:bCs/>
          <w:kern w:val="0"/>
          <w:sz w:val="36"/>
          <w:szCs w:val="36"/>
        </w:rPr>
      </w:pPr>
      <w:r>
        <w:rPr>
          <w:rFonts w:hint="eastAsia" w:ascii="黑体" w:hAnsi="黑体" w:eastAsia="黑体" w:cs="黑体"/>
          <w:bCs/>
          <w:kern w:val="0"/>
          <w:sz w:val="36"/>
          <w:szCs w:val="36"/>
        </w:rPr>
        <w:t>目  录</w:t>
      </w:r>
    </w:p>
    <w:p>
      <w:pPr>
        <w:widowControl/>
        <w:ind w:firstLine="800" w:firstLineChars="250"/>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第一章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2"/>
        <w:snapToGrid w:val="0"/>
        <w:spacing w:before="100" w:after="100" w:line="240" w:lineRule="auto"/>
        <w:jc w:val="center"/>
        <w:rPr>
          <w:sz w:val="36"/>
          <w:szCs w:val="36"/>
        </w:rPr>
      </w:pPr>
      <w:r>
        <w:rPr>
          <w:rFonts w:hint="eastAsia"/>
          <w:sz w:val="36"/>
          <w:szCs w:val="36"/>
        </w:rPr>
        <w:t>第一章  总 则</w:t>
      </w:r>
      <w:bookmarkEnd w:id="1"/>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2"/>
        <w:snapToGrid w:val="0"/>
        <w:spacing w:before="240" w:after="100" w:line="240" w:lineRule="auto"/>
        <w:jc w:val="center"/>
        <w:rPr>
          <w:sz w:val="36"/>
          <w:szCs w:val="36"/>
        </w:rPr>
      </w:pPr>
      <w:bookmarkStart w:id="2" w:name="_Toc1844867385_WPSOffice_Level1"/>
      <w:r>
        <w:rPr>
          <w:rFonts w:hint="eastAsia"/>
          <w:sz w:val="36"/>
          <w:szCs w:val="36"/>
        </w:rPr>
        <w:t>第二章  企业安全生产费用的提取和使用</w:t>
      </w:r>
      <w:bookmarkEnd w:id="2"/>
    </w:p>
    <w:p>
      <w:pPr>
        <w:pStyle w:val="3"/>
        <w:spacing w:line="240" w:lineRule="auto"/>
        <w:jc w:val="center"/>
        <w:rPr>
          <w:b w:val="0"/>
          <w:bCs/>
        </w:rPr>
      </w:pPr>
      <w:bookmarkStart w:id="3" w:name="_Toc1521072516_WPSOffice_Level2"/>
      <w:r>
        <w:rPr>
          <w:rFonts w:hint="eastAsia"/>
          <w:b w:val="0"/>
          <w:bCs/>
        </w:rPr>
        <w:t>第一节  煤炭生产企业</w:t>
      </w:r>
      <w:bookmarkEnd w:id="3"/>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4" w:name="_Toc351126730_WPSOffice_Level2"/>
      <w:r>
        <w:rPr>
          <w:rFonts w:hint="eastAsia"/>
          <w:b w:val="0"/>
          <w:bCs/>
        </w:rPr>
        <w:t>第二节  非煤矿山开采企业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5" w:name="_Toc1123549982_WPSOffice_Level2"/>
      <w:r>
        <w:rPr>
          <w:rFonts w:hint="eastAsia"/>
          <w:b w:val="0"/>
          <w:bCs/>
        </w:rPr>
        <w:t>第三节  石油天然气开采企业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3"/>
        <w:spacing w:line="240" w:lineRule="auto"/>
        <w:jc w:val="center"/>
        <w:rPr>
          <w:b w:val="0"/>
          <w:bCs/>
        </w:rPr>
      </w:pPr>
      <w:bookmarkStart w:id="6" w:name="_Toc1120267535_WPSOffice_Level2"/>
      <w:r>
        <w:rPr>
          <w:rFonts w:hint="eastAsia"/>
          <w:b w:val="0"/>
          <w:bCs/>
        </w:rPr>
        <w:t>第四节  建设工程施工企业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（一）完善、改造和维护安全防护设施设备支出（不含“三同时”要求初期投入的安全设施），包括施工现场临时用电系统、洞口</w:t>
      </w:r>
      <w:r>
        <w:rPr>
          <w:rFonts w:hint="eastAsia" w:ascii="仿宋" w:hAnsi="仿宋" w:eastAsia="仿宋" w:cs="宋体"/>
          <w:bCs/>
          <w:kern w:val="0"/>
          <w:sz w:val="32"/>
          <w:szCs w:val="32"/>
        </w:rPr>
        <w:t>或</w:t>
      </w:r>
      <w:r>
        <w:rPr>
          <w:rFonts w:ascii="仿宋" w:hAnsi="仿宋" w:eastAsia="仿宋" w:cs="宋体"/>
          <w:bCs/>
          <w:kern w:val="0"/>
          <w:sz w:val="32"/>
          <w:szCs w:val="32"/>
        </w:rPr>
        <w:t>临边</w:t>
      </w:r>
      <w:r>
        <w:rPr>
          <w:rFonts w:hint="eastAsia" w:ascii="仿宋" w:hAnsi="仿宋" w:eastAsia="仿宋" w:cs="宋体"/>
          <w:bCs/>
          <w:kern w:val="0"/>
          <w:sz w:val="32"/>
          <w:szCs w:val="32"/>
        </w:rPr>
        <w:t>防护</w:t>
      </w:r>
      <w:r>
        <w:rPr>
          <w:rFonts w:ascii="仿宋" w:hAnsi="仿宋" w:eastAsia="仿宋" w:cs="宋体"/>
          <w:bCs/>
          <w:kern w:val="0"/>
          <w:sz w:val="32"/>
          <w:szCs w:val="32"/>
        </w:rPr>
        <w:t>、高处作业</w:t>
      </w:r>
      <w:r>
        <w:rPr>
          <w:rFonts w:hint="eastAsia" w:ascii="仿宋" w:hAnsi="仿宋" w:eastAsia="仿宋" w:cs="宋体"/>
          <w:bCs/>
          <w:kern w:val="0"/>
          <w:sz w:val="32"/>
          <w:szCs w:val="32"/>
        </w:rPr>
        <w:t>或</w:t>
      </w:r>
      <w:r>
        <w:rPr>
          <w:rFonts w:ascii="仿宋" w:hAnsi="仿宋" w:eastAsia="仿宋" w:cs="宋体"/>
          <w:bCs/>
          <w:kern w:val="0"/>
          <w:sz w:val="32"/>
          <w:szCs w:val="32"/>
        </w:rPr>
        <w:t>交叉作业防护、临时安全防护</w:t>
      </w:r>
      <w:r>
        <w:rPr>
          <w:rFonts w:hint="eastAsia" w:ascii="仿宋" w:hAnsi="仿宋" w:eastAsia="仿宋" w:cs="宋体"/>
          <w:bCs/>
          <w:kern w:val="0"/>
          <w:sz w:val="32"/>
          <w:szCs w:val="32"/>
        </w:rPr>
        <w:t>、</w:t>
      </w:r>
      <w:r>
        <w:rPr>
          <w:rFonts w:hint="eastAsia" w:ascii="仿宋" w:hAnsi="仿宋" w:eastAsia="仿宋" w:cs="宋体"/>
          <w:kern w:val="0"/>
          <w:sz w:val="32"/>
          <w:szCs w:val="32"/>
        </w:rPr>
        <w:t>支护及防治边坡滑坡、</w:t>
      </w:r>
      <w:r>
        <w:rPr>
          <w:rFonts w:ascii="仿宋" w:hAnsi="仿宋" w:eastAsia="仿宋" w:cs="宋体"/>
          <w:bCs/>
          <w:kern w:val="0"/>
          <w:sz w:val="32"/>
          <w:szCs w:val="32"/>
        </w:rPr>
        <w:t>工程有害气体监测</w:t>
      </w:r>
      <w:r>
        <w:rPr>
          <w:rFonts w:hint="eastAsia" w:ascii="仿宋" w:hAnsi="仿宋" w:eastAsia="仿宋" w:cs="宋体"/>
          <w:bCs/>
          <w:kern w:val="0"/>
          <w:sz w:val="32"/>
          <w:szCs w:val="32"/>
        </w:rPr>
        <w:t>和</w:t>
      </w:r>
      <w:r>
        <w:rPr>
          <w:rFonts w:ascii="仿宋" w:hAnsi="仿宋" w:eastAsia="仿宋" w:cs="宋体"/>
          <w:bCs/>
          <w:kern w:val="0"/>
          <w:sz w:val="32"/>
          <w:szCs w:val="32"/>
        </w:rPr>
        <w:t>通风、</w:t>
      </w:r>
      <w:r>
        <w:rPr>
          <w:rFonts w:hint="eastAsia" w:ascii="仿宋" w:hAnsi="仿宋" w:eastAsia="仿宋" w:cs="宋体"/>
          <w:bCs/>
          <w:kern w:val="0"/>
          <w:sz w:val="32"/>
          <w:szCs w:val="32"/>
        </w:rPr>
        <w:t>保障安全的机械设备、</w:t>
      </w:r>
      <w:r>
        <w:rPr>
          <w:rFonts w:ascii="仿宋" w:hAnsi="仿宋" w:eastAsia="仿宋" w:cs="宋体"/>
          <w:bCs/>
          <w:kern w:val="0"/>
          <w:sz w:val="32"/>
          <w:szCs w:val="32"/>
        </w:rPr>
        <w:t>防火、防爆、</w:t>
      </w:r>
      <w:r>
        <w:rPr>
          <w:rFonts w:hint="eastAsia" w:ascii="仿宋" w:hAnsi="仿宋" w:eastAsia="仿宋" w:cs="宋体"/>
          <w:kern w:val="0"/>
          <w:sz w:val="32"/>
          <w:szCs w:val="32"/>
        </w:rPr>
        <w:t>防触电、</w:t>
      </w:r>
      <w:r>
        <w:rPr>
          <w:rFonts w:ascii="仿宋" w:hAnsi="仿宋" w:eastAsia="仿宋" w:cs="宋体"/>
          <w:bCs/>
          <w:kern w:val="0"/>
          <w:sz w:val="32"/>
          <w:szCs w:val="32"/>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w:t>
      </w:r>
      <w:r>
        <w:rPr>
          <w:rFonts w:hint="eastAsia" w:ascii="仿宋" w:hAnsi="仿宋" w:eastAsia="仿宋" w:cs="宋体"/>
          <w:bCs/>
          <w:kern w:val="0"/>
          <w:sz w:val="32"/>
          <w:szCs w:val="32"/>
        </w:rPr>
        <w:t>应急救援技术装备、设施配置及维护保养支出，事故逃生和紧急避难设施设备的配置</w:t>
      </w:r>
      <w:r>
        <w:rPr>
          <w:rFonts w:ascii="仿宋" w:hAnsi="仿宋" w:eastAsia="仿宋" w:cs="宋体"/>
          <w:bCs/>
          <w:kern w:val="0"/>
          <w:sz w:val="32"/>
          <w:szCs w:val="32"/>
        </w:rPr>
        <w:t>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3"/>
        <w:spacing w:line="240" w:lineRule="auto"/>
        <w:jc w:val="center"/>
        <w:rPr>
          <w:b w:val="0"/>
          <w:bCs/>
        </w:rPr>
      </w:pPr>
      <w:bookmarkStart w:id="7" w:name="_Toc1899577483_WPSOffice_Level2"/>
      <w:r>
        <w:rPr>
          <w:rFonts w:hint="eastAsia"/>
          <w:b w:val="0"/>
          <w:bCs/>
        </w:rPr>
        <w:t>第五节  危险品生产与储存企业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8" w:name="_Toc1502558308_WPSOffice_Level2"/>
      <w:r>
        <w:rPr>
          <w:rFonts w:hint="eastAsia"/>
          <w:b w:val="0"/>
          <w:bCs/>
        </w:rPr>
        <w:t>第六节  交通运输企业</w:t>
      </w:r>
      <w:bookmarkEnd w:id="8"/>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3"/>
        <w:spacing w:line="240" w:lineRule="auto"/>
        <w:jc w:val="center"/>
        <w:rPr>
          <w:b w:val="0"/>
          <w:bCs/>
        </w:rPr>
      </w:pPr>
      <w:bookmarkStart w:id="9" w:name="_Toc1549448262_WPSOffice_Level2"/>
      <w:r>
        <w:rPr>
          <w:rFonts w:hint="eastAsia"/>
          <w:b w:val="0"/>
          <w:bCs/>
        </w:rPr>
        <w:t>第七节  冶金企业</w:t>
      </w:r>
      <w:bookmarkEnd w:id="9"/>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0" w:name="_Toc1703388580_WPSOffice_Level2"/>
      <w:r>
        <w:rPr>
          <w:rFonts w:hint="eastAsia"/>
          <w:b w:val="0"/>
          <w:bCs/>
        </w:rPr>
        <w:t>第八节  机械制造企业</w:t>
      </w:r>
      <w:bookmarkEnd w:id="10"/>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1" w:name="_Toc630651970_WPSOffice_Level2"/>
      <w:r>
        <w:rPr>
          <w:rFonts w:hint="eastAsia"/>
          <w:b w:val="0"/>
          <w:bCs/>
        </w:rPr>
        <w:t>第九节  烟花爆竹生产企业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3"/>
        <w:spacing w:line="240" w:lineRule="auto"/>
        <w:jc w:val="center"/>
        <w:rPr>
          <w:b w:val="0"/>
          <w:bCs/>
        </w:rPr>
      </w:pPr>
      <w:bookmarkStart w:id="12" w:name="_Toc474113958_WPSOffice_Level2"/>
      <w:r>
        <w:rPr>
          <w:rFonts w:hint="eastAsia"/>
          <w:b w:val="0"/>
          <w:bCs/>
        </w:rPr>
        <w:t>第十节  民用爆炸物品生产企业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3"/>
        <w:spacing w:line="240" w:lineRule="auto"/>
        <w:jc w:val="center"/>
        <w:rPr>
          <w:b w:val="0"/>
          <w:bCs/>
        </w:rPr>
      </w:pPr>
      <w:bookmarkStart w:id="13" w:name="_Toc1369122167_WPSOffice_Level2"/>
      <w:r>
        <w:rPr>
          <w:rFonts w:hint="eastAsia"/>
          <w:b w:val="0"/>
          <w:bCs/>
        </w:rPr>
        <w:t>第十一节  武器装备研制生产与试验企业</w:t>
      </w:r>
      <w:bookmarkEnd w:id="13"/>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3"/>
        <w:spacing w:line="240" w:lineRule="auto"/>
        <w:jc w:val="center"/>
        <w:rPr>
          <w:b w:val="0"/>
          <w:bCs/>
        </w:rPr>
      </w:pPr>
      <w:bookmarkStart w:id="14" w:name="_Toc2114997939_WPSOffice_Level2"/>
      <w:r>
        <w:rPr>
          <w:rFonts w:hint="eastAsia"/>
          <w:b w:val="0"/>
          <w:bCs/>
        </w:rPr>
        <w:t>第十二节  电力生产与供应企业</w:t>
      </w:r>
      <w:bookmarkEnd w:id="14"/>
    </w:p>
    <w:p>
      <w:pPr>
        <w:pStyle w:val="4"/>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4"/>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2"/>
        <w:snapToGrid w:val="0"/>
        <w:spacing w:before="240" w:after="100" w:line="240" w:lineRule="auto"/>
        <w:jc w:val="center"/>
        <w:rPr>
          <w:sz w:val="36"/>
          <w:szCs w:val="36"/>
        </w:rPr>
      </w:pPr>
      <w:bookmarkStart w:id="15" w:name="_Toc734460631_WPSOffice_Level1"/>
      <w:r>
        <w:rPr>
          <w:rFonts w:hint="eastAsia"/>
          <w:sz w:val="36"/>
          <w:szCs w:val="36"/>
        </w:rPr>
        <w:t>第三章 企业安全生产费用的管理和监督</w:t>
      </w:r>
      <w:bookmarkEnd w:id="1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2"/>
        <w:snapToGrid w:val="0"/>
        <w:spacing w:before="240" w:after="100" w:line="240" w:lineRule="auto"/>
        <w:jc w:val="center"/>
        <w:rPr>
          <w:sz w:val="36"/>
          <w:szCs w:val="36"/>
        </w:rPr>
      </w:pPr>
      <w:bookmarkStart w:id="16" w:name="_Toc822466757_WPSOffice_Level1"/>
      <w:r>
        <w:rPr>
          <w:rFonts w:hint="eastAsia"/>
          <w:sz w:val="36"/>
          <w:szCs w:val="36"/>
        </w:rPr>
        <w:t>第四章 附则</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bookmarkStart w:id="17" w:name="_GoBack"/>
      <w:bookmarkEnd w:id="17"/>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等线">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path/>
          <v:fill on="f" focussize="0,0"/>
          <v:stroke on="f" joinstyle="miter"/>
          <v:imagedata o:title=""/>
          <o:lock v:ext="edit"/>
          <v:textbox inset="0mm,0mm,0mm,0mm" style="mso-fit-shape-to-text:t;">
            <w:txbxContent>
              <w:p>
                <w:pPr>
                  <w:jc w:val="right"/>
                </w:pPr>
                <w:r>
                  <w:fldChar w:fldCharType="begin"/>
                </w:r>
                <w:r>
                  <w:instrText xml:space="preserve">PAGE   \* MERGEFORMAT</w:instrText>
                </w:r>
                <w:r>
                  <w:fldChar w:fldCharType="separate"/>
                </w:r>
                <w:r>
                  <w:rPr>
                    <w:lang w:val="zh-CN"/>
                  </w:rPr>
                  <w:t>36</w:t>
                </w:r>
                <w:r>
                  <w:rPr>
                    <w:lang w:val="zh-CN"/>
                  </w:rPr>
                  <w:fldChar w:fldCharType="end"/>
                </w:r>
              </w:p>
            </w:txbxContent>
          </v:textbox>
        </v:shape>
      </w:pic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revisionView w:markup="0"/>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D2957"/>
    <w:rsid w:val="0000356C"/>
    <w:rsid w:val="00004B91"/>
    <w:rsid w:val="00010021"/>
    <w:rsid w:val="0001082A"/>
    <w:rsid w:val="00021679"/>
    <w:rsid w:val="000433DC"/>
    <w:rsid w:val="00055F71"/>
    <w:rsid w:val="000650E4"/>
    <w:rsid w:val="00070340"/>
    <w:rsid w:val="000736FC"/>
    <w:rsid w:val="00080C1C"/>
    <w:rsid w:val="00085F6B"/>
    <w:rsid w:val="00092E65"/>
    <w:rsid w:val="00094328"/>
    <w:rsid w:val="000951D1"/>
    <w:rsid w:val="000964FE"/>
    <w:rsid w:val="000A53DD"/>
    <w:rsid w:val="000B0C22"/>
    <w:rsid w:val="000B213F"/>
    <w:rsid w:val="000B5CF9"/>
    <w:rsid w:val="000D5D85"/>
    <w:rsid w:val="000E53AA"/>
    <w:rsid w:val="000F0180"/>
    <w:rsid w:val="0011324A"/>
    <w:rsid w:val="00132C7F"/>
    <w:rsid w:val="001413CA"/>
    <w:rsid w:val="00145C12"/>
    <w:rsid w:val="001527E7"/>
    <w:rsid w:val="001559F2"/>
    <w:rsid w:val="001707D6"/>
    <w:rsid w:val="001811B7"/>
    <w:rsid w:val="00191C6C"/>
    <w:rsid w:val="0019571D"/>
    <w:rsid w:val="001C48CC"/>
    <w:rsid w:val="001D0939"/>
    <w:rsid w:val="001D4049"/>
    <w:rsid w:val="001E3234"/>
    <w:rsid w:val="001E3430"/>
    <w:rsid w:val="001F32F6"/>
    <w:rsid w:val="001F6553"/>
    <w:rsid w:val="00215977"/>
    <w:rsid w:val="00226D70"/>
    <w:rsid w:val="0023025A"/>
    <w:rsid w:val="00230608"/>
    <w:rsid w:val="002308D3"/>
    <w:rsid w:val="00235D95"/>
    <w:rsid w:val="00242C63"/>
    <w:rsid w:val="00251456"/>
    <w:rsid w:val="00253913"/>
    <w:rsid w:val="00254206"/>
    <w:rsid w:val="00270409"/>
    <w:rsid w:val="0027097A"/>
    <w:rsid w:val="002752BA"/>
    <w:rsid w:val="00277D25"/>
    <w:rsid w:val="002848AD"/>
    <w:rsid w:val="00285ABB"/>
    <w:rsid w:val="002928D9"/>
    <w:rsid w:val="002A4260"/>
    <w:rsid w:val="002B49E6"/>
    <w:rsid w:val="002B6249"/>
    <w:rsid w:val="002C38B2"/>
    <w:rsid w:val="002D02BD"/>
    <w:rsid w:val="002D75DB"/>
    <w:rsid w:val="002E1848"/>
    <w:rsid w:val="002E67F5"/>
    <w:rsid w:val="002E683D"/>
    <w:rsid w:val="002F0EA0"/>
    <w:rsid w:val="00307AF0"/>
    <w:rsid w:val="00311447"/>
    <w:rsid w:val="00312C1A"/>
    <w:rsid w:val="0032486F"/>
    <w:rsid w:val="00334F0F"/>
    <w:rsid w:val="003377F5"/>
    <w:rsid w:val="00342FE5"/>
    <w:rsid w:val="00346103"/>
    <w:rsid w:val="003542CA"/>
    <w:rsid w:val="003553BC"/>
    <w:rsid w:val="00355D45"/>
    <w:rsid w:val="00364069"/>
    <w:rsid w:val="0036565E"/>
    <w:rsid w:val="003737C8"/>
    <w:rsid w:val="00377ED1"/>
    <w:rsid w:val="00383CE1"/>
    <w:rsid w:val="00385545"/>
    <w:rsid w:val="003872D7"/>
    <w:rsid w:val="003A2CE6"/>
    <w:rsid w:val="003A64EC"/>
    <w:rsid w:val="003A7424"/>
    <w:rsid w:val="003C05EC"/>
    <w:rsid w:val="003C5930"/>
    <w:rsid w:val="003D018C"/>
    <w:rsid w:val="003D36F0"/>
    <w:rsid w:val="003E55FA"/>
    <w:rsid w:val="003F0A89"/>
    <w:rsid w:val="003F6B61"/>
    <w:rsid w:val="003F7032"/>
    <w:rsid w:val="004008CE"/>
    <w:rsid w:val="00414114"/>
    <w:rsid w:val="004162F9"/>
    <w:rsid w:val="0041646A"/>
    <w:rsid w:val="00417ACB"/>
    <w:rsid w:val="00420230"/>
    <w:rsid w:val="00425BCB"/>
    <w:rsid w:val="00432DD0"/>
    <w:rsid w:val="00437B6F"/>
    <w:rsid w:val="00440412"/>
    <w:rsid w:val="004450D5"/>
    <w:rsid w:val="004451C4"/>
    <w:rsid w:val="0044645A"/>
    <w:rsid w:val="00451E61"/>
    <w:rsid w:val="00471080"/>
    <w:rsid w:val="00480ACE"/>
    <w:rsid w:val="00483485"/>
    <w:rsid w:val="0049075B"/>
    <w:rsid w:val="00491143"/>
    <w:rsid w:val="004A13E9"/>
    <w:rsid w:val="004A4CE2"/>
    <w:rsid w:val="004B164D"/>
    <w:rsid w:val="004B54F9"/>
    <w:rsid w:val="004B7A52"/>
    <w:rsid w:val="004C51C3"/>
    <w:rsid w:val="004E57D5"/>
    <w:rsid w:val="004E6728"/>
    <w:rsid w:val="0051608A"/>
    <w:rsid w:val="00517C9F"/>
    <w:rsid w:val="00521024"/>
    <w:rsid w:val="00531A41"/>
    <w:rsid w:val="00545E85"/>
    <w:rsid w:val="005468D9"/>
    <w:rsid w:val="00554BAD"/>
    <w:rsid w:val="0057125A"/>
    <w:rsid w:val="005906BF"/>
    <w:rsid w:val="005A4468"/>
    <w:rsid w:val="005C3566"/>
    <w:rsid w:val="005D1427"/>
    <w:rsid w:val="005D41EE"/>
    <w:rsid w:val="005E13F9"/>
    <w:rsid w:val="005E54E6"/>
    <w:rsid w:val="005F2284"/>
    <w:rsid w:val="005F5E5C"/>
    <w:rsid w:val="005F672F"/>
    <w:rsid w:val="005F71B0"/>
    <w:rsid w:val="00602337"/>
    <w:rsid w:val="0061090E"/>
    <w:rsid w:val="00614164"/>
    <w:rsid w:val="006234B8"/>
    <w:rsid w:val="00623536"/>
    <w:rsid w:val="00640B23"/>
    <w:rsid w:val="006445B1"/>
    <w:rsid w:val="00651EA3"/>
    <w:rsid w:val="006555E2"/>
    <w:rsid w:val="00656232"/>
    <w:rsid w:val="00661A24"/>
    <w:rsid w:val="006667D9"/>
    <w:rsid w:val="00674A8D"/>
    <w:rsid w:val="006A3CC7"/>
    <w:rsid w:val="006A582C"/>
    <w:rsid w:val="006B11E9"/>
    <w:rsid w:val="006B2C7C"/>
    <w:rsid w:val="006C4117"/>
    <w:rsid w:val="006C4282"/>
    <w:rsid w:val="006C4F1C"/>
    <w:rsid w:val="006C6051"/>
    <w:rsid w:val="006D2957"/>
    <w:rsid w:val="006E5859"/>
    <w:rsid w:val="006E6ABE"/>
    <w:rsid w:val="006E7131"/>
    <w:rsid w:val="006E7260"/>
    <w:rsid w:val="006F53C2"/>
    <w:rsid w:val="0070272B"/>
    <w:rsid w:val="0070624F"/>
    <w:rsid w:val="00722241"/>
    <w:rsid w:val="00723F13"/>
    <w:rsid w:val="0072544B"/>
    <w:rsid w:val="00732566"/>
    <w:rsid w:val="00733AEC"/>
    <w:rsid w:val="007431F2"/>
    <w:rsid w:val="00743F2A"/>
    <w:rsid w:val="00751AA8"/>
    <w:rsid w:val="007566BF"/>
    <w:rsid w:val="00792F78"/>
    <w:rsid w:val="007A4587"/>
    <w:rsid w:val="007B24D2"/>
    <w:rsid w:val="007C53F0"/>
    <w:rsid w:val="007D5C91"/>
    <w:rsid w:val="007E2E5D"/>
    <w:rsid w:val="007E7EBA"/>
    <w:rsid w:val="008010FF"/>
    <w:rsid w:val="00803D48"/>
    <w:rsid w:val="00805588"/>
    <w:rsid w:val="00815022"/>
    <w:rsid w:val="00816A46"/>
    <w:rsid w:val="00820767"/>
    <w:rsid w:val="008209B2"/>
    <w:rsid w:val="00822C0E"/>
    <w:rsid w:val="008372C0"/>
    <w:rsid w:val="00856B80"/>
    <w:rsid w:val="00860920"/>
    <w:rsid w:val="00881C55"/>
    <w:rsid w:val="008834E1"/>
    <w:rsid w:val="008A0F7F"/>
    <w:rsid w:val="008B09A8"/>
    <w:rsid w:val="008B77A2"/>
    <w:rsid w:val="008E5F9F"/>
    <w:rsid w:val="008E75FD"/>
    <w:rsid w:val="008F259E"/>
    <w:rsid w:val="008F3D5F"/>
    <w:rsid w:val="00900C82"/>
    <w:rsid w:val="009070CA"/>
    <w:rsid w:val="00915766"/>
    <w:rsid w:val="00951EA2"/>
    <w:rsid w:val="00955529"/>
    <w:rsid w:val="00955E17"/>
    <w:rsid w:val="00966ED9"/>
    <w:rsid w:val="00982648"/>
    <w:rsid w:val="00995292"/>
    <w:rsid w:val="009B43C2"/>
    <w:rsid w:val="009C08ED"/>
    <w:rsid w:val="009C327B"/>
    <w:rsid w:val="009C4AFE"/>
    <w:rsid w:val="009D39B0"/>
    <w:rsid w:val="009D5134"/>
    <w:rsid w:val="00A0165B"/>
    <w:rsid w:val="00A26A05"/>
    <w:rsid w:val="00A26A79"/>
    <w:rsid w:val="00A32F82"/>
    <w:rsid w:val="00A35B16"/>
    <w:rsid w:val="00A520E0"/>
    <w:rsid w:val="00A558C1"/>
    <w:rsid w:val="00A759F0"/>
    <w:rsid w:val="00A85EC8"/>
    <w:rsid w:val="00AA0E78"/>
    <w:rsid w:val="00AA1754"/>
    <w:rsid w:val="00AC3D9F"/>
    <w:rsid w:val="00AD71FA"/>
    <w:rsid w:val="00AE30C5"/>
    <w:rsid w:val="00AE7EEA"/>
    <w:rsid w:val="00B033EA"/>
    <w:rsid w:val="00B0689E"/>
    <w:rsid w:val="00B132FE"/>
    <w:rsid w:val="00B1739D"/>
    <w:rsid w:val="00B2502C"/>
    <w:rsid w:val="00B37637"/>
    <w:rsid w:val="00B46772"/>
    <w:rsid w:val="00B470D5"/>
    <w:rsid w:val="00B503ED"/>
    <w:rsid w:val="00BA1B84"/>
    <w:rsid w:val="00BA6F17"/>
    <w:rsid w:val="00BE715E"/>
    <w:rsid w:val="00BF505E"/>
    <w:rsid w:val="00C03336"/>
    <w:rsid w:val="00C059AF"/>
    <w:rsid w:val="00C11AB1"/>
    <w:rsid w:val="00C159E2"/>
    <w:rsid w:val="00C16E53"/>
    <w:rsid w:val="00C41E50"/>
    <w:rsid w:val="00C50947"/>
    <w:rsid w:val="00C56502"/>
    <w:rsid w:val="00C57EAD"/>
    <w:rsid w:val="00C67329"/>
    <w:rsid w:val="00C714E4"/>
    <w:rsid w:val="00C85AAA"/>
    <w:rsid w:val="00C91B00"/>
    <w:rsid w:val="00C95C03"/>
    <w:rsid w:val="00CA6C1B"/>
    <w:rsid w:val="00CB18F6"/>
    <w:rsid w:val="00CB21F4"/>
    <w:rsid w:val="00CB2E8C"/>
    <w:rsid w:val="00CB3331"/>
    <w:rsid w:val="00CB7307"/>
    <w:rsid w:val="00CD7853"/>
    <w:rsid w:val="00CE143C"/>
    <w:rsid w:val="00CE657F"/>
    <w:rsid w:val="00D008ED"/>
    <w:rsid w:val="00D03D73"/>
    <w:rsid w:val="00D1023D"/>
    <w:rsid w:val="00D15979"/>
    <w:rsid w:val="00D21B96"/>
    <w:rsid w:val="00D25629"/>
    <w:rsid w:val="00D33EBD"/>
    <w:rsid w:val="00D475C5"/>
    <w:rsid w:val="00D53046"/>
    <w:rsid w:val="00D717B5"/>
    <w:rsid w:val="00D91D97"/>
    <w:rsid w:val="00DA51DD"/>
    <w:rsid w:val="00DA5463"/>
    <w:rsid w:val="00DC59F3"/>
    <w:rsid w:val="00E056C0"/>
    <w:rsid w:val="00E076FF"/>
    <w:rsid w:val="00E24ECB"/>
    <w:rsid w:val="00E25505"/>
    <w:rsid w:val="00E33E31"/>
    <w:rsid w:val="00E34F18"/>
    <w:rsid w:val="00E3544C"/>
    <w:rsid w:val="00E40216"/>
    <w:rsid w:val="00E61C3F"/>
    <w:rsid w:val="00E748E9"/>
    <w:rsid w:val="00EA390A"/>
    <w:rsid w:val="00EB4AEA"/>
    <w:rsid w:val="00EB5404"/>
    <w:rsid w:val="00EC5CD9"/>
    <w:rsid w:val="00ED7882"/>
    <w:rsid w:val="00EF7808"/>
    <w:rsid w:val="00F1159D"/>
    <w:rsid w:val="00F12C12"/>
    <w:rsid w:val="00F1581D"/>
    <w:rsid w:val="00F456BA"/>
    <w:rsid w:val="00F45E24"/>
    <w:rsid w:val="00F56FF0"/>
    <w:rsid w:val="00F91570"/>
    <w:rsid w:val="00F96DB3"/>
    <w:rsid w:val="00FD5D73"/>
    <w:rsid w:val="00FE3DE0"/>
    <w:rsid w:val="00FF2BF2"/>
    <w:rsid w:val="175568FE"/>
    <w:rsid w:val="19BFCB39"/>
    <w:rsid w:val="19DFA95D"/>
    <w:rsid w:val="1BBFB3D8"/>
    <w:rsid w:val="1D3D6AD3"/>
    <w:rsid w:val="2DAFAE50"/>
    <w:rsid w:val="2DBC411A"/>
    <w:rsid w:val="2FFC4543"/>
    <w:rsid w:val="339F2EAC"/>
    <w:rsid w:val="33BFA0D9"/>
    <w:rsid w:val="33FD05CB"/>
    <w:rsid w:val="3579CE85"/>
    <w:rsid w:val="3BF332C0"/>
    <w:rsid w:val="3BF7B6FE"/>
    <w:rsid w:val="3CE540A8"/>
    <w:rsid w:val="3EAB0813"/>
    <w:rsid w:val="3F7E8D0E"/>
    <w:rsid w:val="3F7F7148"/>
    <w:rsid w:val="3FBE101F"/>
    <w:rsid w:val="3FFBB49B"/>
    <w:rsid w:val="433FE912"/>
    <w:rsid w:val="459FBB23"/>
    <w:rsid w:val="4AEED5DB"/>
    <w:rsid w:val="4FB757D6"/>
    <w:rsid w:val="4FBC0782"/>
    <w:rsid w:val="54EE6CC2"/>
    <w:rsid w:val="54FF2822"/>
    <w:rsid w:val="555FA913"/>
    <w:rsid w:val="566F2679"/>
    <w:rsid w:val="56DF9F70"/>
    <w:rsid w:val="57CDDB65"/>
    <w:rsid w:val="5C6CC25E"/>
    <w:rsid w:val="5F4F189E"/>
    <w:rsid w:val="5F9DD997"/>
    <w:rsid w:val="5FCF71B0"/>
    <w:rsid w:val="5FFD3F7D"/>
    <w:rsid w:val="66474DF5"/>
    <w:rsid w:val="6AFB446F"/>
    <w:rsid w:val="6DFF4A4D"/>
    <w:rsid w:val="6ECE9C17"/>
    <w:rsid w:val="6EF81E56"/>
    <w:rsid w:val="6EFD90B1"/>
    <w:rsid w:val="6FB70029"/>
    <w:rsid w:val="6FDFE01F"/>
    <w:rsid w:val="751E5C07"/>
    <w:rsid w:val="75EF50FF"/>
    <w:rsid w:val="75FA587E"/>
    <w:rsid w:val="75FEBA97"/>
    <w:rsid w:val="76FFF14C"/>
    <w:rsid w:val="774F8554"/>
    <w:rsid w:val="7757F1C6"/>
    <w:rsid w:val="7775DB90"/>
    <w:rsid w:val="777EE7BA"/>
    <w:rsid w:val="777F584B"/>
    <w:rsid w:val="77D75DC9"/>
    <w:rsid w:val="77F6B3B4"/>
    <w:rsid w:val="787F6BC2"/>
    <w:rsid w:val="7B5DF9AF"/>
    <w:rsid w:val="7B7F43E3"/>
    <w:rsid w:val="7BBF2D0A"/>
    <w:rsid w:val="7BEFBD8E"/>
    <w:rsid w:val="7BF7AB3C"/>
    <w:rsid w:val="7BFF0C5B"/>
    <w:rsid w:val="7BFFE86B"/>
    <w:rsid w:val="7CFBCE18"/>
    <w:rsid w:val="7D4F7BC1"/>
    <w:rsid w:val="7D7A210C"/>
    <w:rsid w:val="7E871C8F"/>
    <w:rsid w:val="7EBB86C4"/>
    <w:rsid w:val="7EEDB25D"/>
    <w:rsid w:val="7EFBB74F"/>
    <w:rsid w:val="7EFF9F85"/>
    <w:rsid w:val="7F6DBD00"/>
    <w:rsid w:val="7F7F4986"/>
    <w:rsid w:val="7F7FD1F3"/>
    <w:rsid w:val="7FAD541C"/>
    <w:rsid w:val="7FBBCCCD"/>
    <w:rsid w:val="7FBF79B5"/>
    <w:rsid w:val="7FBFAFE4"/>
    <w:rsid w:val="7FCBF7B1"/>
    <w:rsid w:val="7FDFBA08"/>
    <w:rsid w:val="7FF3FEF0"/>
    <w:rsid w:val="7FF767D8"/>
    <w:rsid w:val="7FFBB9C6"/>
    <w:rsid w:val="7FFF7D3C"/>
    <w:rsid w:val="8FBA38CA"/>
    <w:rsid w:val="95FF3CC8"/>
    <w:rsid w:val="95FF7E17"/>
    <w:rsid w:val="97FA2A60"/>
    <w:rsid w:val="9DFF6631"/>
    <w:rsid w:val="9F5B02A1"/>
    <w:rsid w:val="A87F5D1C"/>
    <w:rsid w:val="AEB76F25"/>
    <w:rsid w:val="AF8F53AF"/>
    <w:rsid w:val="B7EE657D"/>
    <w:rsid w:val="BA672AFA"/>
    <w:rsid w:val="BEE73197"/>
    <w:rsid w:val="BF1F1426"/>
    <w:rsid w:val="BF7F4FA4"/>
    <w:rsid w:val="BFAF51E4"/>
    <w:rsid w:val="BFF361DE"/>
    <w:rsid w:val="BFF9F265"/>
    <w:rsid w:val="CEF563D0"/>
    <w:rsid w:val="CF5EFF2A"/>
    <w:rsid w:val="CF9E047E"/>
    <w:rsid w:val="CFBB35F1"/>
    <w:rsid w:val="D7EF5F38"/>
    <w:rsid w:val="D81FD817"/>
    <w:rsid w:val="DBBFA912"/>
    <w:rsid w:val="DD8F9CF1"/>
    <w:rsid w:val="DD9A2295"/>
    <w:rsid w:val="DDEF2AFD"/>
    <w:rsid w:val="DFEF2A1B"/>
    <w:rsid w:val="DFF78AEE"/>
    <w:rsid w:val="E5BD1388"/>
    <w:rsid w:val="E67F2403"/>
    <w:rsid w:val="EEFFFF9E"/>
    <w:rsid w:val="EF7AC85C"/>
    <w:rsid w:val="EFEB9F09"/>
    <w:rsid w:val="EFF87416"/>
    <w:rsid w:val="EFFF88B9"/>
    <w:rsid w:val="EFFFF1F2"/>
    <w:rsid w:val="F1D8AE32"/>
    <w:rsid w:val="F37CDCCF"/>
    <w:rsid w:val="F56F0123"/>
    <w:rsid w:val="F5BCAAB9"/>
    <w:rsid w:val="F66FC3FF"/>
    <w:rsid w:val="F7A7418A"/>
    <w:rsid w:val="F7E259A9"/>
    <w:rsid w:val="F7F37878"/>
    <w:rsid w:val="F7F44D72"/>
    <w:rsid w:val="F9773EC2"/>
    <w:rsid w:val="F9BC1FC4"/>
    <w:rsid w:val="FAD7EE5C"/>
    <w:rsid w:val="FAEE15AD"/>
    <w:rsid w:val="FB47EFB1"/>
    <w:rsid w:val="FB9DFA75"/>
    <w:rsid w:val="FBF7437E"/>
    <w:rsid w:val="FBFE7DDB"/>
    <w:rsid w:val="FD3B550C"/>
    <w:rsid w:val="FD6F1237"/>
    <w:rsid w:val="FD8B8E13"/>
    <w:rsid w:val="FDF3431E"/>
    <w:rsid w:val="FDFE0BAD"/>
    <w:rsid w:val="FE7F02CC"/>
    <w:rsid w:val="FECD4C84"/>
    <w:rsid w:val="FEDD9D61"/>
    <w:rsid w:val="FF5F7F6C"/>
    <w:rsid w:val="FF7F6E03"/>
    <w:rsid w:val="FFA35000"/>
    <w:rsid w:val="FFA46CE7"/>
    <w:rsid w:val="FFABBCE0"/>
    <w:rsid w:val="FFBED20D"/>
    <w:rsid w:val="FFC25845"/>
    <w:rsid w:val="FFD71ABA"/>
    <w:rsid w:val="FFDB156B"/>
    <w:rsid w:val="FFDFF53A"/>
    <w:rsid w:val="FFF68200"/>
    <w:rsid w:val="FFF7D6EE"/>
    <w:rsid w:val="FFFDF110"/>
    <w:rsid w:val="FFFED743"/>
    <w:rsid w:val="FFFF2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firstLineChars="200"/>
    </w:pPr>
    <w:rPr>
      <w:rFonts w:ascii="仿宋_GB2312" w:eastAsia="仿宋_GB2312"/>
      <w:szCs w:val="22"/>
    </w:rPr>
  </w:style>
  <w:style w:type="paragraph" w:styleId="5">
    <w:name w:val="annotation text"/>
    <w:basedOn w:val="1"/>
    <w:link w:val="17"/>
    <w:qFormat/>
    <w:uiPriority w:val="0"/>
    <w:pPr>
      <w:jc w:val="left"/>
    </w:pPr>
  </w:style>
  <w:style w:type="paragraph" w:styleId="6">
    <w:name w:val="Plain Text"/>
    <w:basedOn w:val="1"/>
    <w:link w:val="23"/>
    <w:qFormat/>
    <w:uiPriority w:val="0"/>
    <w:pPr>
      <w:widowControl/>
      <w:adjustRightInd w:val="0"/>
      <w:snapToGrid w:val="0"/>
      <w:spacing w:after="200"/>
      <w:jc w:val="left"/>
    </w:pPr>
    <w:rPr>
      <w:rFonts w:ascii="Courier New" w:hAnsi="Courier New" w:eastAsia="方正仿宋简体"/>
      <w:kern w:val="0"/>
      <w:sz w:val="32"/>
      <w:szCs w:val="20"/>
    </w:rPr>
  </w:style>
  <w:style w:type="paragraph" w:styleId="7">
    <w:name w:val="Balloon Text"/>
    <w:basedOn w:val="1"/>
    <w:link w:val="18"/>
    <w:unhideWhenUsed/>
    <w:qFormat/>
    <w:uiPriority w:val="99"/>
    <w:rPr>
      <w:rFonts w:ascii="等线" w:hAnsi="等线" w:eastAsia="等线"/>
      <w:sz w:val="18"/>
      <w:szCs w:val="18"/>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720"/>
      </w:tabs>
      <w:spacing w:line="480" w:lineRule="auto"/>
      <w:jc w:val="left"/>
    </w:pPr>
  </w:style>
  <w:style w:type="paragraph" w:styleId="11">
    <w:name w:val="annotation subject"/>
    <w:basedOn w:val="5"/>
    <w:next w:val="5"/>
    <w:link w:val="20"/>
    <w:qFormat/>
    <w:uiPriority w:val="0"/>
    <w:rPr>
      <w:b/>
      <w:bCs/>
    </w:rPr>
  </w:style>
  <w:style w:type="character" w:styleId="14">
    <w:name w:val="page number"/>
    <w:qFormat/>
    <w:uiPriority w:val="0"/>
  </w:style>
  <w:style w:type="character" w:styleId="15">
    <w:name w:val="Hyperlink"/>
    <w:unhideWhenUsed/>
    <w:qFormat/>
    <w:uiPriority w:val="99"/>
    <w:rPr>
      <w:color w:val="0000FF"/>
      <w:u w:val="single"/>
    </w:rPr>
  </w:style>
  <w:style w:type="character" w:styleId="16">
    <w:name w:val="annotation reference"/>
    <w:qFormat/>
    <w:uiPriority w:val="0"/>
    <w:rPr>
      <w:sz w:val="21"/>
      <w:szCs w:val="21"/>
    </w:rPr>
  </w:style>
  <w:style w:type="character" w:customStyle="1" w:styleId="17">
    <w:name w:val="批注文字 Char"/>
    <w:link w:val="5"/>
    <w:qFormat/>
    <w:uiPriority w:val="0"/>
    <w:rPr>
      <w:rFonts w:ascii="Calibri" w:hAnsi="Calibri"/>
      <w:kern w:val="2"/>
      <w:sz w:val="21"/>
      <w:szCs w:val="24"/>
    </w:rPr>
  </w:style>
  <w:style w:type="character" w:customStyle="1" w:styleId="18">
    <w:name w:val="批注框文本 Char"/>
    <w:link w:val="7"/>
    <w:qFormat/>
    <w:uiPriority w:val="99"/>
    <w:rPr>
      <w:rFonts w:ascii="等线" w:hAnsi="等线" w:eastAsia="等线"/>
      <w:kern w:val="2"/>
      <w:sz w:val="18"/>
      <w:szCs w:val="18"/>
    </w:rPr>
  </w:style>
  <w:style w:type="character" w:customStyle="1" w:styleId="19">
    <w:name w:val="页眉 Char"/>
    <w:link w:val="9"/>
    <w:qFormat/>
    <w:uiPriority w:val="0"/>
    <w:rPr>
      <w:rFonts w:ascii="Calibri" w:hAnsi="Calibri"/>
      <w:kern w:val="2"/>
      <w:sz w:val="18"/>
      <w:szCs w:val="18"/>
    </w:rPr>
  </w:style>
  <w:style w:type="character" w:customStyle="1" w:styleId="20">
    <w:name w:val="批注主题 Char"/>
    <w:link w:val="11"/>
    <w:qFormat/>
    <w:uiPriority w:val="0"/>
    <w:rPr>
      <w:rFonts w:ascii="Calibri" w:hAnsi="Calibri"/>
      <w:b/>
      <w:bCs/>
      <w:kern w:val="2"/>
      <w:sz w:val="21"/>
      <w:szCs w:val="24"/>
    </w:r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3">
    <w:name w:val="纯文本 Char"/>
    <w:basedOn w:val="13"/>
    <w:link w:val="6"/>
    <w:qFormat/>
    <w:uiPriority w:val="0"/>
    <w:rPr>
      <w:rFonts w:ascii="Courier New" w:hAnsi="Courier New" w:eastAsia="方正仿宋简体"/>
      <w:sz w:val="32"/>
    </w:rPr>
  </w:style>
  <w:style w:type="paragraph" w:customStyle="1" w:styleId="24">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15003</Words>
  <Characters>1369</Characters>
  <Lines>11</Lines>
  <Paragraphs>32</Paragraphs>
  <TotalTime>22</TotalTime>
  <ScaleCrop>false</ScaleCrop>
  <LinksUpToDate>false</LinksUpToDate>
  <CharactersWithSpaces>16340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2022-10-20T04:23:00Z</dcterms:created>
  <dc:creator>Administrator</dc:creator>
  <cp:lastModifiedBy>wangrq</cp:lastModifiedBy>
  <cp:lastPrinted>2022-12-01T07:41:00Z</cp:lastPrinted>
  <dcterms:modified xsi:type="dcterms:W3CDTF">2022-12-12T10:17:53Z</dcterms:modified>
  <dc:title>企业安全生产费用提取和使用管理办法</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