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rPr>
        <w:t>《证券业商用密码应用上线指南》</w:t>
      </w: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编制说明</w:t>
      </w:r>
    </w:p>
    <w:p>
      <w:pPr>
        <w:jc w:val="center"/>
        <w:rPr>
          <w:rFonts w:ascii="方正小标宋简体" w:hAnsi="宋体" w:eastAsia="方正小标宋简体"/>
          <w:sz w:val="44"/>
          <w:szCs w:val="44"/>
        </w:rPr>
      </w:pP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为全面贯彻落实总体国家安全观，构建以密码技术为核心、多种技术相互融合的新网络安全体系，保障网络与信息安全，维护国家安全和社会公共利益。中国证券业协会证券科技委员会成员单位银河证券、广发证券和兴业证券联合编写了《证券业商用密码应用上线指南》（以下简称《商用密码上线指南》），《商用密码上线指南》结合相关规定及证券行业发展特点，将证券公司商用密码工作改造上线工作进一步标准化，建立商用密码上线标准，指导证券公司商用密码改造上线工作。团体标准供会员单位及社会组织自愿采用。现就相关情况说明如下：</w:t>
      </w:r>
    </w:p>
    <w:p>
      <w:pPr>
        <w:numPr>
          <w:ilvl w:val="0"/>
          <w:numId w:val="1"/>
        </w:numPr>
        <w:ind w:firstLine="645"/>
        <w:rPr>
          <w:rFonts w:ascii="黑体" w:hAnsi="黑体" w:eastAsia="黑体"/>
          <w:sz w:val="32"/>
          <w:szCs w:val="32"/>
        </w:rPr>
      </w:pPr>
      <w:r>
        <w:rPr>
          <w:rFonts w:hint="eastAsia" w:ascii="黑体" w:hAnsi="黑体" w:eastAsia="黑体"/>
          <w:sz w:val="32"/>
          <w:szCs w:val="32"/>
        </w:rPr>
        <w:t>起草背景</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密码工作是党和国家的一项特殊重要工作,直接关系国家政治安全、经济安全、国防安全和信息安全。2019年10月26日,十三届全国人大常委会第十四次会议审议通过《中华人民共和国密码法》，自2020年1月1日起施行。国家鼓励商用密码技术的研究开发、学术交流、成果转化和推广应用，以促进密码技术进步、产业发展,切实维护国家安全、社会公共利益以及公民、法人和其他组织的合法权益。</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证券业各机构在中国证监会统一组织、协调管理下，2015年开始着力密码算法的技术研究和设计等工作。</w:t>
      </w:r>
      <w:r>
        <w:rPr>
          <w:rFonts w:hint="eastAsia" w:ascii="仿宋_GB2312" w:hAnsi="仿宋_GB2312" w:eastAsia="仿宋_GB2312" w:cs="仿宋_GB2312"/>
          <w:sz w:val="32"/>
          <w:szCs w:val="32"/>
        </w:rPr>
        <w:t>中国证券业协会指导团标起草组通过梳理行业</w:t>
      </w:r>
      <w:r>
        <w:rPr>
          <w:rFonts w:hint="eastAsia" w:ascii="仿宋_GB2312" w:eastAsia="仿宋_GB2312"/>
          <w:sz w:val="32"/>
          <w:szCs w:val="32"/>
        </w:rPr>
        <w:t>商用密码改造上线成果，形成方便使用的上线标准，为证券业信息系统摆脱底层安全通讯对国际算法（RSA、AES、MD5等）的过度依赖提供保障，符合国家层面从国家安全和长远战略高度考虑的信息安全要求，同时增强行业信息系统“安全可控”的能力。</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为进一步加快推进商用密码在证券业的应用，团标起草组通过综合分析整个证券业信息系统共性特点，结合当前证券业商用密码应用已上线现状，对商用密码</w:t>
      </w:r>
      <w:r>
        <w:rPr>
          <w:rFonts w:ascii="仿宋_GB2312" w:eastAsia="仿宋_GB2312"/>
          <w:sz w:val="32"/>
          <w:szCs w:val="32"/>
        </w:rPr>
        <w:t>改造</w:t>
      </w:r>
      <w:r>
        <w:rPr>
          <w:rFonts w:hint="eastAsia" w:ascii="仿宋_GB2312" w:eastAsia="仿宋_GB2312"/>
          <w:sz w:val="32"/>
          <w:szCs w:val="32"/>
        </w:rPr>
        <w:t>上线工作进行规范化、标准化，保障行业机构顺利开展密码应用上线工作。该标准对于降低市场参与者成本，指导相关单位信息系统商密改造按标准上线、按规范管理具有重要意义。</w:t>
      </w:r>
    </w:p>
    <w:p>
      <w:pPr>
        <w:numPr>
          <w:ilvl w:val="0"/>
          <w:numId w:val="1"/>
        </w:numPr>
        <w:ind w:firstLine="645"/>
        <w:rPr>
          <w:rFonts w:ascii="黑体" w:hAnsi="黑体" w:eastAsia="黑体"/>
          <w:sz w:val="32"/>
          <w:szCs w:val="32"/>
        </w:rPr>
      </w:pPr>
      <w:r>
        <w:rPr>
          <w:rFonts w:hint="eastAsia" w:ascii="黑体" w:hAnsi="黑体" w:eastAsia="黑体"/>
          <w:sz w:val="32"/>
          <w:szCs w:val="32"/>
        </w:rPr>
        <w:t>主要内容：</w:t>
      </w:r>
    </w:p>
    <w:p>
      <w:pPr>
        <w:spacing w:line="600" w:lineRule="atLeast"/>
        <w:ind w:firstLine="640" w:firstLineChars="200"/>
        <w:rPr>
          <w:rFonts w:ascii="仿宋_GB2312" w:eastAsia="仿宋_GB2312"/>
          <w:sz w:val="32"/>
          <w:szCs w:val="32"/>
        </w:rPr>
      </w:pPr>
      <w:r>
        <w:rPr>
          <w:rFonts w:hint="eastAsia" w:ascii="仿宋_GB2312" w:hAnsi="仿宋_GB2312" w:eastAsia="仿宋_GB2312" w:cs="仿宋_GB2312"/>
          <w:sz w:val="32"/>
          <w:szCs w:val="32"/>
        </w:rPr>
        <w:t>《</w:t>
      </w:r>
      <w:r>
        <w:rPr>
          <w:rFonts w:hint="eastAsia" w:ascii="仿宋_GB2312" w:eastAsia="仿宋_GB2312"/>
          <w:sz w:val="32"/>
          <w:szCs w:val="32"/>
        </w:rPr>
        <w:t>商用密码上线指南</w:t>
      </w:r>
      <w:r>
        <w:rPr>
          <w:rFonts w:hint="eastAsia" w:ascii="仿宋_GB2312" w:hAnsi="仿宋_GB2312" w:eastAsia="仿宋_GB2312" w:cs="仿宋_GB2312"/>
          <w:sz w:val="32"/>
          <w:szCs w:val="32"/>
        </w:rPr>
        <w:t>》共七部分，主要涵盖</w:t>
      </w:r>
      <w:r>
        <w:rPr>
          <w:rFonts w:hint="eastAsia" w:ascii="仿宋_GB2312" w:eastAsia="仿宋_GB2312"/>
          <w:sz w:val="32"/>
          <w:szCs w:val="32"/>
        </w:rPr>
        <w:t>商用密码应用上线的基本要求、系统上线和应急管理三方面。其中基本要求是关于商用密码应用上线的基本性保障的概述，涵盖组织、经费和制度等要求，为推进系统顺利上线提供基础保障。系统上线分别给出上线前、上线中和上线后三阶段的实施概述，包括制定上线所需的系统测试方案、上线策略、上线实施方案等。应急管理则描述商用密码应用上线的应急实施方式，通过应急准备、应急处理和调查处理三部分，给出应急事件的事前、事中和事后的实施概述。附录则提供信息系统商用密码改造首次引入的安全模块应急案例，包括SSL</w:t>
      </w:r>
      <w:r>
        <w:rPr>
          <w:rFonts w:ascii="仿宋_GB2312" w:eastAsia="仿宋_GB2312"/>
          <w:sz w:val="32"/>
          <w:szCs w:val="32"/>
        </w:rPr>
        <w:t xml:space="preserve"> </w:t>
      </w:r>
      <w:r>
        <w:rPr>
          <w:rFonts w:hint="eastAsia" w:ascii="仿宋_GB2312" w:eastAsia="仿宋_GB2312"/>
          <w:sz w:val="32"/>
          <w:szCs w:val="32"/>
        </w:rPr>
        <w:t>VPN接入网关、数字证书认证系统和密钥管理系统（KMS）各类故障的应急措施</w:t>
      </w:r>
      <w:r>
        <w:rPr>
          <w:rFonts w:hint="eastAsia" w:ascii="仿宋_GB2312" w:hAnsi="仿宋_GB2312" w:eastAsia="仿宋_GB2312" w:cs="仿宋_GB2312"/>
          <w:sz w:val="32"/>
          <w:szCs w:val="32"/>
        </w:rPr>
        <w:t>。</w:t>
      </w:r>
    </w:p>
    <w:p>
      <w:pPr>
        <w:numPr>
          <w:ilvl w:val="0"/>
          <w:numId w:val="1"/>
        </w:numPr>
        <w:ind w:firstLine="645"/>
        <w:rPr>
          <w:rFonts w:ascii="黑体" w:hAnsi="黑体" w:eastAsia="黑体"/>
          <w:sz w:val="32"/>
          <w:szCs w:val="32"/>
        </w:rPr>
      </w:pPr>
      <w:r>
        <w:rPr>
          <w:rFonts w:hint="eastAsia" w:ascii="黑体" w:hAnsi="黑体" w:eastAsia="黑体"/>
          <w:sz w:val="32"/>
          <w:szCs w:val="32"/>
        </w:rPr>
        <w:t>意见收集情况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由中国证券业协会信息科技部牵头，组织</w:t>
      </w:r>
      <w:r>
        <w:rPr>
          <w:rFonts w:hint="eastAsia" w:ascii="仿宋_GB2312" w:eastAsia="仿宋_GB2312"/>
          <w:sz w:val="32"/>
          <w:szCs w:val="32"/>
        </w:rPr>
        <w:t>行业单位</w:t>
      </w:r>
      <w:r>
        <w:rPr>
          <w:rFonts w:hint="eastAsia" w:ascii="仿宋_GB2312" w:hAnsi="仿宋_GB2312" w:eastAsia="仿宋_GB2312" w:cs="仿宋_GB2312"/>
          <w:sz w:val="32"/>
          <w:szCs w:val="32"/>
        </w:rPr>
        <w:t>针对《</w:t>
      </w:r>
      <w:r>
        <w:rPr>
          <w:rFonts w:hint="eastAsia" w:ascii="仿宋_GB2312" w:eastAsia="仿宋_GB2312"/>
          <w:sz w:val="32"/>
          <w:szCs w:val="32"/>
        </w:rPr>
        <w:t>商用密码上线指南</w:t>
      </w:r>
      <w:r>
        <w:rPr>
          <w:rFonts w:hint="eastAsia" w:ascii="仿宋_GB2312" w:hAnsi="仿宋_GB2312" w:eastAsia="仿宋_GB2312" w:cs="仿宋_GB2312"/>
          <w:sz w:val="32"/>
          <w:szCs w:val="32"/>
        </w:rPr>
        <w:t>》进行意见收集，</w:t>
      </w:r>
      <w:r>
        <w:rPr>
          <w:rFonts w:ascii="仿宋_GB2312" w:hAnsi="仿宋_GB2312" w:eastAsia="仿宋_GB2312" w:cs="仿宋_GB2312"/>
          <w:sz w:val="32"/>
          <w:szCs w:val="32"/>
        </w:rPr>
        <w:t>团标起草</w:t>
      </w:r>
      <w:r>
        <w:rPr>
          <w:rFonts w:hint="eastAsia" w:ascii="仿宋_GB2312" w:hAnsi="仿宋_GB2312" w:eastAsia="仿宋_GB2312" w:cs="仿宋_GB2312"/>
          <w:sz w:val="32"/>
          <w:szCs w:val="32"/>
        </w:rPr>
        <w:t>组充分采纳相关意见建议，最终完成《</w:t>
      </w:r>
      <w:r>
        <w:rPr>
          <w:rFonts w:hint="eastAsia" w:ascii="仿宋_GB2312" w:eastAsia="仿宋_GB2312"/>
          <w:sz w:val="32"/>
          <w:szCs w:val="32"/>
        </w:rPr>
        <w:t>商用密码上线指南</w:t>
      </w:r>
      <w:r>
        <w:rPr>
          <w:rFonts w:hint="eastAsia" w:ascii="仿宋_GB2312" w:hAnsi="仿宋_GB2312" w:eastAsia="仿宋_GB2312" w:cs="仿宋_GB2312"/>
          <w:sz w:val="32"/>
          <w:szCs w:val="32"/>
        </w:rPr>
        <w:t>（送审稿）》。</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主要的意见建议</w:t>
      </w:r>
      <w:r>
        <w:rPr>
          <w:rFonts w:hint="eastAsia" w:ascii="仿宋_GB2312" w:hAnsi="仿宋_GB2312" w:eastAsia="仿宋_GB2312" w:cs="仿宋_GB2312"/>
          <w:sz w:val="32"/>
          <w:szCs w:val="32"/>
        </w:rPr>
        <w:t>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增加“工作小组组织相关人员持续开展商用密码相关知识及标准规范学习培训，落实系统上线后的运维和管理保障工作”，“上线后监控和质量保证措施”中增加“系统容量”的监控，“密码应用安全性评估”中增加“网络安全等级二级以上和二级以下系统”的改造要求，“安全测试”</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增加“个人信息保护安全”内容等</w:t>
      </w:r>
      <w:r>
        <w:rPr>
          <w:rFonts w:hint="eastAsia" w:ascii="仿宋_GB2312" w:hAnsi="仿宋_GB2312" w:eastAsia="仿宋_GB2312" w:cs="仿宋_GB2312"/>
          <w:sz w:val="32"/>
          <w:szCs w:val="32"/>
          <w:lang w:eastAsia="zh-CN"/>
        </w:rPr>
        <w:t>。</w:t>
      </w:r>
    </w:p>
    <w:p>
      <w:pPr>
        <w:numPr>
          <w:ilvl w:val="0"/>
          <w:numId w:val="1"/>
        </w:numPr>
        <w:ind w:firstLine="645"/>
        <w:rPr>
          <w:rFonts w:hint="eastAsia" w:ascii="黑体" w:hAnsi="黑体" w:eastAsia="黑体"/>
          <w:sz w:val="32"/>
          <w:szCs w:val="32"/>
        </w:rPr>
      </w:pPr>
      <w:r>
        <w:rPr>
          <w:rFonts w:hint="eastAsia" w:ascii="黑体" w:hAnsi="黑体" w:eastAsia="黑体"/>
          <w:sz w:val="32"/>
          <w:szCs w:val="32"/>
        </w:rPr>
        <w:t>主要试验（或验证）分析</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本标准在起草时，参</w:t>
      </w:r>
      <w:r>
        <w:rPr>
          <w:rFonts w:hint="eastAsia" w:ascii="仿宋_GB2312" w:eastAsia="仿宋_GB2312"/>
          <w:sz w:val="32"/>
          <w:szCs w:val="32"/>
          <w:lang w:val="en-US" w:eastAsia="zh-CN"/>
        </w:rPr>
        <w:t>考</w:t>
      </w:r>
      <w:r>
        <w:rPr>
          <w:rFonts w:hint="eastAsia" w:ascii="仿宋_GB2312" w:eastAsia="仿宋_GB2312"/>
          <w:sz w:val="32"/>
          <w:szCs w:val="32"/>
        </w:rPr>
        <w:t>了行业内的优秀改造实例，全面考量了应用改造的稳定性、完整性、兼容性以及扩展性，</w:t>
      </w:r>
      <w:r>
        <w:rPr>
          <w:rFonts w:hint="eastAsia" w:ascii="仿宋_GB2312" w:eastAsia="仿宋_GB2312"/>
          <w:sz w:val="32"/>
          <w:szCs w:val="32"/>
          <w:lang w:val="en-US" w:eastAsia="zh-CN"/>
        </w:rPr>
        <w:t>三家起草单位在本单位的商用密码应用上线过程中，均已按照本标准的内容进行了实践，三家单位的验证结果证明了相关内容在实际应用中的有效性、可行性和可靠性</w:t>
      </w:r>
      <w:r>
        <w:rPr>
          <w:rFonts w:hint="eastAsia" w:ascii="仿宋_GB2312" w:eastAsia="仿宋_GB2312"/>
          <w:sz w:val="32"/>
          <w:szCs w:val="32"/>
        </w:rPr>
        <w:t>。</w:t>
      </w:r>
    </w:p>
    <w:p>
      <w:pPr>
        <w:ind w:firstLine="640" w:firstLineChars="200"/>
        <w:rPr>
          <w:rFonts w:hint="eastAsia" w:ascii="仿宋_GB2312" w:hAnsi="仿宋_GB2312" w:eastAsia="仿宋_GB2312" w:cs="仿宋_GB2312"/>
          <w:sz w:val="32"/>
          <w:szCs w:val="32"/>
          <w:lang w:eastAsia="zh-CN"/>
        </w:rPr>
      </w:pPr>
    </w:p>
    <w:sectPr>
      <w:headerReference r:id="rId3" w:type="default"/>
      <w:footerReference r:id="rId4" w:type="default"/>
      <w:footerReference r:id="rId5" w:type="even"/>
      <w:pgSz w:w="11906" w:h="16838"/>
      <w:pgMar w:top="567" w:right="1134" w:bottom="1134" w:left="1417" w:header="720" w:footer="720"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right="210"/>
      <w:rPr>
        <w:rStyle w:val="15"/>
      </w:rPr>
    </w:pPr>
    <w:r>
      <w:fldChar w:fldCharType="begin"/>
    </w:r>
    <w:r>
      <w:rPr>
        <w:rStyle w:val="15"/>
      </w:rPr>
      <w:instrText xml:space="preserve">PAGE  </w:instrText>
    </w:r>
    <w:r>
      <w:fldChar w:fldCharType="separate"/>
    </w:r>
    <w:r>
      <w:rPr>
        <w:rStyle w:val="15"/>
      </w:rPr>
      <w:t>2</w:t>
    </w:r>
    <w:r>
      <w:fldChar w:fldCharType="end"/>
    </w:r>
  </w:p>
  <w:p>
    <w:pPr>
      <w:pStyle w:val="9"/>
      <w:ind w:righ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right="210"/>
      <w:rPr>
        <w:rStyle w:val="15"/>
      </w:rPr>
    </w:pPr>
    <w:r>
      <w:fldChar w:fldCharType="begin"/>
    </w:r>
    <w:r>
      <w:rPr>
        <w:rStyle w:val="15"/>
      </w:rPr>
      <w:instrText xml:space="preserve">PAGE  </w:instrText>
    </w:r>
    <w:r>
      <w:fldChar w:fldCharType="end"/>
    </w:r>
  </w:p>
  <w:p>
    <w:pPr>
      <w:pStyle w:val="9"/>
      <w:ind w:right="2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F9D62"/>
    <w:multiLevelType w:val="singleLevel"/>
    <w:tmpl w:val="002F9D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wOTNmODQ3MGRkNTk1Njg5ZWM5NGUxN2I0ZjU0MzEifQ=="/>
  </w:docVars>
  <w:rsids>
    <w:rsidRoot w:val="00EF130D"/>
    <w:rsid w:val="00000BB0"/>
    <w:rsid w:val="00017167"/>
    <w:rsid w:val="00042BE3"/>
    <w:rsid w:val="00063D1D"/>
    <w:rsid w:val="00065627"/>
    <w:rsid w:val="00094004"/>
    <w:rsid w:val="000A120A"/>
    <w:rsid w:val="000A73C3"/>
    <w:rsid w:val="000C1022"/>
    <w:rsid w:val="000D5D85"/>
    <w:rsid w:val="000E1E62"/>
    <w:rsid w:val="000F6235"/>
    <w:rsid w:val="0010592E"/>
    <w:rsid w:val="00122190"/>
    <w:rsid w:val="00161764"/>
    <w:rsid w:val="001928CA"/>
    <w:rsid w:val="001B6E41"/>
    <w:rsid w:val="001B703A"/>
    <w:rsid w:val="001B71B4"/>
    <w:rsid w:val="001B7D25"/>
    <w:rsid w:val="001D1BF6"/>
    <w:rsid w:val="001E558E"/>
    <w:rsid w:val="002037FF"/>
    <w:rsid w:val="0020779F"/>
    <w:rsid w:val="002260C3"/>
    <w:rsid w:val="002626F6"/>
    <w:rsid w:val="002659BE"/>
    <w:rsid w:val="002846EA"/>
    <w:rsid w:val="00297D13"/>
    <w:rsid w:val="002B2CE5"/>
    <w:rsid w:val="002B3322"/>
    <w:rsid w:val="002B6571"/>
    <w:rsid w:val="002D00BA"/>
    <w:rsid w:val="002D14F8"/>
    <w:rsid w:val="002D4E7D"/>
    <w:rsid w:val="002E13AB"/>
    <w:rsid w:val="002F17F6"/>
    <w:rsid w:val="0030691D"/>
    <w:rsid w:val="0031209F"/>
    <w:rsid w:val="00356AC9"/>
    <w:rsid w:val="00361605"/>
    <w:rsid w:val="003636B9"/>
    <w:rsid w:val="00390CE1"/>
    <w:rsid w:val="003942A9"/>
    <w:rsid w:val="003A6A46"/>
    <w:rsid w:val="003C7A5D"/>
    <w:rsid w:val="003D371A"/>
    <w:rsid w:val="003E4E8A"/>
    <w:rsid w:val="004245C6"/>
    <w:rsid w:val="0042662D"/>
    <w:rsid w:val="0044213F"/>
    <w:rsid w:val="00492742"/>
    <w:rsid w:val="0049561F"/>
    <w:rsid w:val="00496CE1"/>
    <w:rsid w:val="004B4F60"/>
    <w:rsid w:val="004C53D9"/>
    <w:rsid w:val="004C6D63"/>
    <w:rsid w:val="00532234"/>
    <w:rsid w:val="00535458"/>
    <w:rsid w:val="0054050A"/>
    <w:rsid w:val="005425A2"/>
    <w:rsid w:val="00573F72"/>
    <w:rsid w:val="005C3EE7"/>
    <w:rsid w:val="005D5AE7"/>
    <w:rsid w:val="005F536D"/>
    <w:rsid w:val="00601552"/>
    <w:rsid w:val="00612CAA"/>
    <w:rsid w:val="006424D0"/>
    <w:rsid w:val="00652822"/>
    <w:rsid w:val="006752CB"/>
    <w:rsid w:val="006A082F"/>
    <w:rsid w:val="006B024B"/>
    <w:rsid w:val="006B40EE"/>
    <w:rsid w:val="006E123C"/>
    <w:rsid w:val="00721ECD"/>
    <w:rsid w:val="00726AAF"/>
    <w:rsid w:val="007344BB"/>
    <w:rsid w:val="00752917"/>
    <w:rsid w:val="00756599"/>
    <w:rsid w:val="007616AB"/>
    <w:rsid w:val="007969A4"/>
    <w:rsid w:val="007A61C7"/>
    <w:rsid w:val="007F015C"/>
    <w:rsid w:val="00823A16"/>
    <w:rsid w:val="00825D92"/>
    <w:rsid w:val="0084296D"/>
    <w:rsid w:val="008644C6"/>
    <w:rsid w:val="0088562A"/>
    <w:rsid w:val="008C52E3"/>
    <w:rsid w:val="008D54A4"/>
    <w:rsid w:val="008E558A"/>
    <w:rsid w:val="0091580C"/>
    <w:rsid w:val="0091673D"/>
    <w:rsid w:val="009318E6"/>
    <w:rsid w:val="00933E2E"/>
    <w:rsid w:val="00934661"/>
    <w:rsid w:val="009646C6"/>
    <w:rsid w:val="00991037"/>
    <w:rsid w:val="009A7BCF"/>
    <w:rsid w:val="009C701A"/>
    <w:rsid w:val="009D0CDA"/>
    <w:rsid w:val="009F1AF3"/>
    <w:rsid w:val="009F5542"/>
    <w:rsid w:val="00A30249"/>
    <w:rsid w:val="00A47C3A"/>
    <w:rsid w:val="00A50F6A"/>
    <w:rsid w:val="00A65130"/>
    <w:rsid w:val="00A73117"/>
    <w:rsid w:val="00A74B15"/>
    <w:rsid w:val="00A81008"/>
    <w:rsid w:val="00A96BEB"/>
    <w:rsid w:val="00AC5C73"/>
    <w:rsid w:val="00AF2B24"/>
    <w:rsid w:val="00B30E5B"/>
    <w:rsid w:val="00B3190D"/>
    <w:rsid w:val="00B3722D"/>
    <w:rsid w:val="00B379DB"/>
    <w:rsid w:val="00B57671"/>
    <w:rsid w:val="00B60D26"/>
    <w:rsid w:val="00B622D7"/>
    <w:rsid w:val="00B64781"/>
    <w:rsid w:val="00B84539"/>
    <w:rsid w:val="00B9169C"/>
    <w:rsid w:val="00BB7CC0"/>
    <w:rsid w:val="00BF572F"/>
    <w:rsid w:val="00C016C9"/>
    <w:rsid w:val="00C03369"/>
    <w:rsid w:val="00C078FA"/>
    <w:rsid w:val="00C25C8B"/>
    <w:rsid w:val="00C368E9"/>
    <w:rsid w:val="00C507D0"/>
    <w:rsid w:val="00C6235B"/>
    <w:rsid w:val="00C876A6"/>
    <w:rsid w:val="00C92771"/>
    <w:rsid w:val="00CD4A64"/>
    <w:rsid w:val="00D01BA8"/>
    <w:rsid w:val="00D10025"/>
    <w:rsid w:val="00D10045"/>
    <w:rsid w:val="00D111A6"/>
    <w:rsid w:val="00D15588"/>
    <w:rsid w:val="00D40661"/>
    <w:rsid w:val="00D41194"/>
    <w:rsid w:val="00D63B3E"/>
    <w:rsid w:val="00DA1F87"/>
    <w:rsid w:val="00DB0C58"/>
    <w:rsid w:val="00DB6850"/>
    <w:rsid w:val="00DC39EF"/>
    <w:rsid w:val="00E04854"/>
    <w:rsid w:val="00E06B88"/>
    <w:rsid w:val="00E07B59"/>
    <w:rsid w:val="00E27F98"/>
    <w:rsid w:val="00E44874"/>
    <w:rsid w:val="00E63E17"/>
    <w:rsid w:val="00E63E1F"/>
    <w:rsid w:val="00EB5DA9"/>
    <w:rsid w:val="00EC6359"/>
    <w:rsid w:val="00EC794E"/>
    <w:rsid w:val="00ED42E1"/>
    <w:rsid w:val="00ED5D9B"/>
    <w:rsid w:val="00EF130D"/>
    <w:rsid w:val="00EF34C3"/>
    <w:rsid w:val="00EF602D"/>
    <w:rsid w:val="00F02CBA"/>
    <w:rsid w:val="00F223C0"/>
    <w:rsid w:val="00F22D04"/>
    <w:rsid w:val="00F3428E"/>
    <w:rsid w:val="00F36650"/>
    <w:rsid w:val="00F422E4"/>
    <w:rsid w:val="00F46CF2"/>
    <w:rsid w:val="00F534BA"/>
    <w:rsid w:val="00F556CD"/>
    <w:rsid w:val="00F83D4C"/>
    <w:rsid w:val="00F96177"/>
    <w:rsid w:val="00FB0C35"/>
    <w:rsid w:val="00FB40AD"/>
    <w:rsid w:val="00FE06F2"/>
    <w:rsid w:val="00FE4D18"/>
    <w:rsid w:val="00FE57C4"/>
    <w:rsid w:val="00FF3E71"/>
    <w:rsid w:val="123A47A4"/>
    <w:rsid w:val="16C84DB6"/>
    <w:rsid w:val="1EA079D3"/>
    <w:rsid w:val="226153D5"/>
    <w:rsid w:val="23D35A43"/>
    <w:rsid w:val="27C74057"/>
    <w:rsid w:val="2BE07D12"/>
    <w:rsid w:val="2EAF6B2C"/>
    <w:rsid w:val="3FE6219A"/>
    <w:rsid w:val="3FF4669A"/>
    <w:rsid w:val="40E340D5"/>
    <w:rsid w:val="49544467"/>
    <w:rsid w:val="4F8256F8"/>
    <w:rsid w:val="500F7F75"/>
    <w:rsid w:val="756F2370"/>
    <w:rsid w:val="E5F5E7E5"/>
    <w:rsid w:val="EF4FF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lang w:eastAsia="en-US"/>
    </w:rPr>
  </w:style>
  <w:style w:type="paragraph" w:styleId="3">
    <w:name w:val="heading 2"/>
    <w:basedOn w:val="1"/>
    <w:next w:val="1"/>
    <w:qFormat/>
    <w:uiPriority w:val="0"/>
    <w:pPr>
      <w:keepNext/>
      <w:keepLines/>
      <w:widowControl/>
      <w:spacing w:before="260" w:after="260" w:line="413" w:lineRule="auto"/>
      <w:jc w:val="left"/>
      <w:outlineLvl w:val="1"/>
    </w:pPr>
    <w:rPr>
      <w:rFonts w:ascii="Arial" w:hAnsi="Arial" w:eastAsia="黑体"/>
      <w:b/>
      <w:bCs/>
      <w:kern w:val="0"/>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Document Map"/>
    <w:basedOn w:val="1"/>
    <w:qFormat/>
    <w:uiPriority w:val="0"/>
    <w:pPr>
      <w:shd w:val="clear" w:color="auto" w:fill="000080"/>
    </w:pPr>
  </w:style>
  <w:style w:type="paragraph" w:styleId="5">
    <w:name w:val="annotation text"/>
    <w:basedOn w:val="1"/>
    <w:qFormat/>
    <w:uiPriority w:val="0"/>
    <w:pPr>
      <w:jc w:val="left"/>
    </w:pPr>
  </w:style>
  <w:style w:type="paragraph" w:styleId="6">
    <w:name w:val="Date"/>
    <w:basedOn w:val="1"/>
    <w:next w:val="1"/>
    <w:qFormat/>
    <w:uiPriority w:val="0"/>
    <w:pPr>
      <w:widowControl/>
      <w:ind w:left="100" w:leftChars="2500"/>
      <w:jc w:val="left"/>
    </w:pPr>
    <w:rPr>
      <w:kern w:val="0"/>
      <w:sz w:val="24"/>
      <w:szCs w:val="20"/>
    </w:rPr>
  </w:style>
  <w:style w:type="paragraph" w:styleId="7">
    <w:name w:val="Body Text Indent 2"/>
    <w:basedOn w:val="1"/>
    <w:qFormat/>
    <w:uiPriority w:val="0"/>
    <w:pPr>
      <w:ind w:firstLine="420"/>
    </w:pPr>
  </w:style>
  <w:style w:type="paragraph" w:styleId="8">
    <w:name w:val="Balloon Text"/>
    <w:basedOn w:val="1"/>
    <w:qFormat/>
    <w:uiPriority w:val="0"/>
    <w:rPr>
      <w:sz w:val="18"/>
      <w:szCs w:val="18"/>
    </w:rPr>
  </w:style>
  <w:style w:type="paragraph" w:styleId="9">
    <w:name w:val="footer"/>
    <w:basedOn w:val="1"/>
    <w:qFormat/>
    <w:uiPriority w:val="0"/>
    <w:pPr>
      <w:widowControl/>
      <w:tabs>
        <w:tab w:val="center" w:pos="4153"/>
        <w:tab w:val="right" w:pos="8306"/>
      </w:tabs>
      <w:snapToGrid w:val="0"/>
      <w:jc w:val="left"/>
    </w:pPr>
    <w:rPr>
      <w:kern w:val="0"/>
      <w:sz w:val="18"/>
      <w:szCs w:val="20"/>
    </w:rPr>
  </w:style>
  <w:style w:type="paragraph" w:styleId="10">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1">
    <w:name w:val="toc 1"/>
    <w:basedOn w:val="1"/>
    <w:next w:val="1"/>
    <w:qFormat/>
    <w:uiPriority w:val="0"/>
    <w:rPr>
      <w:szCs w:val="20"/>
    </w:rPr>
  </w:style>
  <w:style w:type="paragraph" w:styleId="12">
    <w:name w:val="annotation subject"/>
    <w:basedOn w:val="5"/>
    <w:next w:val="5"/>
    <w:qFormat/>
    <w:uiPriority w:val="0"/>
    <w:rPr>
      <w:b/>
      <w:bCs/>
    </w:rPr>
  </w:style>
  <w:style w:type="character" w:styleId="15">
    <w:name w:val="page number"/>
    <w:basedOn w:val="14"/>
    <w:qFormat/>
    <w:uiPriority w:val="0"/>
  </w:style>
  <w:style w:type="character" w:styleId="16">
    <w:name w:val="annotation reference"/>
    <w:qFormat/>
    <w:uiPriority w:val="0"/>
    <w:rPr>
      <w:sz w:val="21"/>
      <w:szCs w:val="21"/>
    </w:rPr>
  </w:style>
  <w:style w:type="paragraph" w:customStyle="1" w:styleId="17">
    <w:name w:val="列出段落1"/>
    <w:basedOn w:val="1"/>
    <w:qFormat/>
    <w:uiPriority w:val="0"/>
    <w:pPr>
      <w:ind w:firstLine="420" w:firstLineChars="200"/>
    </w:pPr>
    <w:rPr>
      <w:rFonts w:ascii="Calibri" w:hAnsi="Calibri"/>
      <w:szCs w:val="22"/>
    </w:rPr>
  </w:style>
  <w:style w:type="paragraph" w:customStyle="1" w:styleId="18">
    <w:name w:val="Char Char Char Char"/>
    <w:basedOn w:val="1"/>
    <w:qFormat/>
    <w:uiPriority w:val="0"/>
    <w:pPr>
      <w:widowControl/>
      <w:spacing w:after="160" w:line="240" w:lineRule="exact"/>
      <w:jc w:val="left"/>
    </w:pPr>
    <w:rPr>
      <w:szCs w:val="20"/>
    </w:rPr>
  </w:style>
  <w:style w:type="paragraph" w:customStyle="1" w:styleId="19">
    <w:name w:val="段"/>
    <w:link w:val="2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1">
    <w:name w:val="p0"/>
    <w:basedOn w:val="1"/>
    <w:qFormat/>
    <w:uiPriority w:val="0"/>
    <w:pPr>
      <w:widowControl/>
    </w:pPr>
    <w:rPr>
      <w:kern w:val="0"/>
      <w:szCs w:val="21"/>
    </w:rPr>
  </w:style>
  <w:style w:type="paragraph" w:customStyle="1" w:styleId="22">
    <w:name w:val="标准书脚_奇数页"/>
    <w:qFormat/>
    <w:uiPriority w:val="0"/>
    <w:pPr>
      <w:spacing w:before="120"/>
      <w:jc w:val="right"/>
    </w:pPr>
    <w:rPr>
      <w:rFonts w:ascii="Times New Roman" w:hAnsi="Times New Roman" w:eastAsia="宋体" w:cs="Times New Roman"/>
      <w:sz w:val="18"/>
      <w:lang w:val="en-US" w:eastAsia="zh-CN" w:bidi="ar-SA"/>
    </w:rPr>
  </w:style>
  <w:style w:type="character" w:customStyle="1" w:styleId="23">
    <w:name w:val="apple-style-span"/>
    <w:basedOn w:val="14"/>
    <w:qFormat/>
    <w:uiPriority w:val="0"/>
  </w:style>
  <w:style w:type="character" w:customStyle="1" w:styleId="24">
    <w:name w:val="段 Char Char"/>
    <w:link w:val="19"/>
    <w:qFormat/>
    <w:uiPriority w:val="0"/>
    <w:rPr>
      <w:rFonts w:ascii="宋体"/>
      <w:sz w:val="21"/>
      <w:lang w:val="en-US" w:eastAsia="zh-CN" w:bidi="ar-SA"/>
    </w:rPr>
  </w:style>
  <w:style w:type="character" w:customStyle="1" w:styleId="25">
    <w:name w:val="段 Char"/>
    <w:qFormat/>
    <w:uiPriority w:val="0"/>
    <w:rPr>
      <w:rFonts w:ascii="宋体"/>
      <w:sz w:val="21"/>
      <w:lang w:val="en-US" w:eastAsia="zh-CN" w:bidi="ar-SA"/>
    </w:rPr>
  </w:style>
  <w:style w:type="paragraph" w:customStyle="1" w:styleId="26">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2376</Words>
  <Characters>2426</Characters>
  <Lines>10</Lines>
  <Paragraphs>2</Paragraphs>
  <TotalTime>43</TotalTime>
  <ScaleCrop>false</ScaleCrop>
  <LinksUpToDate>false</LinksUpToDate>
  <CharactersWithSpaces>2428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2024-06-06T17:06:00Z</dcterms:created>
  <dc:creator>CN=赵旭/OU=基金业务部/OU=公司总部/O=ChinaClear</dc:creator>
  <cp:lastModifiedBy> </cp:lastModifiedBy>
  <cp:lastPrinted>2024-06-12T23:45:00Z</cp:lastPrinted>
  <dcterms:modified xsi:type="dcterms:W3CDTF">2024-06-14T09:21:48Z</dcterms:modified>
  <dc:title>《基金公司与托管行间托管业务数据交换协议（征求意见稿）》编制说明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5F3E6E6C5FD546B9AF4B50E67B09C1DE_13</vt:lpwstr>
  </property>
</Properties>
</file>