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adjustRightInd w:val="0"/>
        <w:snapToGrid w:val="0"/>
        <w:spacing w:line="560" w:lineRule="exact"/>
        <w:ind w:left="0"/>
        <w:jc w:val="center"/>
        <w:rPr>
          <w:rFonts w:ascii="方正小标宋_GBK" w:eastAsia="方正小标宋_GBK" w:cs="方正小标宋_GBK" w:hint="eastAsia"/>
          <w:spacing w:val="-4"/>
          <w:sz w:val="44"/>
          <w:szCs w:val="44"/>
        </w:rPr>
      </w:pPr>
      <w:bookmarkStart w:id="0" w:name="_GoBack"/>
      <w:bookmarkEnd w:id="0"/>
      <w:r>
        <w:rPr>
          <w:rFonts w:ascii="方正小标宋_GBK" w:eastAsia="方正小标宋_GBK" w:cs="方正小标宋_GBK" w:hint="eastAsia"/>
          <w:spacing w:val="-4"/>
          <w:sz w:val="44"/>
          <w:szCs w:val="44"/>
        </w:rPr>
        <w:t>起草说明</w:t>
      </w:r>
    </w:p>
    <w:p>
      <w:pPr>
        <w:adjustRightInd w:val="0"/>
        <w:snapToGrid w:val="0"/>
        <w:spacing w:line="560" w:lineRule="exact"/>
        <w:ind w:firstLineChars="200" w:firstLine="624"/>
        <w:rPr>
          <w:rFonts w:ascii="方正仿宋_GBK" w:eastAsia="方正仿宋_GBK" w:cs="方正仿宋_GBK"/>
          <w:spacing w:val="-4"/>
          <w:sz w:val="32"/>
          <w:szCs w:val="32"/>
        </w:rPr>
      </w:pPr>
    </w:p>
    <w:p>
      <w:pPr>
        <w:pStyle w:val="18"/>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jc w:val="both"/>
        <w:textAlignment w:val="auto"/>
        <w:rPr>
          <w:rFonts w:ascii="Times New Roman" w:eastAsia="方正仿宋_GBK" w:hAnsi="Times New Roman"/>
          <w:color w:val="auto"/>
          <w:sz w:val="32"/>
          <w:szCs w:val="32"/>
          <w:lang w:val="en-US" w:eastAsia="zh-CN"/>
        </w:rPr>
      </w:pPr>
      <w:r>
        <w:rPr>
          <w:rFonts w:ascii="Times New Roman" w:eastAsia="方正仿宋_GBK" w:cs="Times New Roman" w:hAnsi="Times New Roman" w:hint="eastAsia"/>
          <w:bCs/>
          <w:sz w:val="32"/>
          <w:szCs w:val="32"/>
          <w:lang w:bidi="ar-SA"/>
        </w:rPr>
        <w:t>“一带一路”倡议实施以来，我国</w:t>
      </w:r>
      <w:r>
        <w:rPr>
          <w:rFonts w:ascii="Times New Roman" w:eastAsia="方正仿宋_GBK" w:cs="Times New Roman" w:hAnsi="Times New Roman"/>
          <w:bCs/>
          <w:sz w:val="32"/>
          <w:szCs w:val="32"/>
          <w:lang w:bidi="ar-SA"/>
        </w:rPr>
        <w:t>企业</w:t>
      </w:r>
      <w:r>
        <w:rPr>
          <w:rFonts w:ascii="Times New Roman" w:eastAsia="方正仿宋_GBK" w:cs="Times New Roman" w:hAnsi="Times New Roman" w:hint="eastAsia"/>
          <w:bCs/>
          <w:sz w:val="32"/>
          <w:szCs w:val="32"/>
          <w:lang w:bidi="ar-SA"/>
        </w:rPr>
        <w:t>对外承包工程</w:t>
      </w:r>
      <w:r>
        <w:rPr>
          <w:rFonts w:ascii="Times New Roman" w:eastAsia="方正仿宋_GBK" w:cs="Times New Roman" w:hAnsi="Times New Roman"/>
          <w:bCs/>
          <w:sz w:val="32"/>
          <w:szCs w:val="32"/>
          <w:lang w:bidi="ar-SA"/>
        </w:rPr>
        <w:t>业务迅猛发展</w:t>
      </w:r>
      <w:r>
        <w:rPr>
          <w:rFonts w:ascii="Times New Roman" w:eastAsia="方正仿宋_GBK" w:cs="Times New Roman" w:hAnsi="Times New Roman" w:hint="eastAsia"/>
          <w:bCs/>
          <w:sz w:val="32"/>
          <w:szCs w:val="32"/>
          <w:lang w:bidi="ar-SA"/>
        </w:rPr>
        <w:t>，</w:t>
      </w:r>
      <w:r>
        <w:rPr>
          <w:rFonts w:ascii="Times New Roman" w:eastAsia="方正仿宋_GBK" w:hAnsi="Times New Roman"/>
          <w:color w:val="auto"/>
          <w:sz w:val="32"/>
          <w:szCs w:val="32"/>
          <w:lang w:eastAsia="zh-CN"/>
        </w:rPr>
        <w:t>为</w:t>
      </w:r>
      <w:r>
        <w:rPr>
          <w:rFonts w:ascii="Times New Roman" w:eastAsia="方正仿宋_GBK" w:hAnsi="Times New Roman" w:hint="eastAsia"/>
          <w:color w:val="auto"/>
          <w:sz w:val="32"/>
          <w:szCs w:val="32"/>
          <w:lang w:val="en-US" w:eastAsia="zh-CN"/>
        </w:rPr>
        <w:t>带动中国产品、技术和服务“走出去”</w:t>
      </w:r>
      <w:r>
        <w:rPr>
          <w:rFonts w:ascii="Times New Roman" w:eastAsia="方正仿宋_GBK" w:hAnsi="Times New Roman"/>
          <w:color w:val="auto"/>
          <w:sz w:val="32"/>
          <w:szCs w:val="32"/>
          <w:lang w:val="en-US" w:eastAsia="zh-CN"/>
        </w:rPr>
        <w:t>，</w:t>
      </w:r>
      <w:r>
        <w:rPr>
          <w:rFonts w:ascii="Times New Roman" w:eastAsia="方正仿宋_GBK" w:hAnsi="Times New Roman" w:hint="eastAsia"/>
          <w:color w:val="auto"/>
          <w:sz w:val="32"/>
          <w:szCs w:val="32"/>
          <w:lang w:val="en-US" w:eastAsia="zh-CN"/>
        </w:rPr>
        <w:t>促进国内经济转型升级</w:t>
      </w:r>
      <w:r>
        <w:rPr>
          <w:rFonts w:ascii="Times New Roman" w:eastAsia="方正仿宋_GBK" w:hAnsi="Times New Roman"/>
          <w:color w:val="auto"/>
          <w:sz w:val="32"/>
          <w:szCs w:val="32"/>
          <w:lang w:val="en-US" w:eastAsia="zh-CN"/>
        </w:rPr>
        <w:t>，</w:t>
      </w:r>
      <w:r>
        <w:rPr>
          <w:rFonts w:ascii="Times New Roman" w:eastAsia="方正仿宋_GBK" w:hAnsi="Times New Roman" w:hint="eastAsia"/>
          <w:color w:val="auto"/>
          <w:sz w:val="32"/>
          <w:szCs w:val="32"/>
          <w:lang w:val="en-US" w:eastAsia="zh-CN"/>
        </w:rPr>
        <w:t>实现我与相关国家（地区）合作共赢发展发挥了重要作用。</w:t>
      </w:r>
      <w:r>
        <w:rPr>
          <w:rFonts w:ascii="Times New Roman" w:eastAsia="方正仿宋_GBK" w:hAnsi="Times New Roman"/>
          <w:color w:val="auto"/>
          <w:sz w:val="32"/>
          <w:szCs w:val="32"/>
          <w:lang w:val="en-US" w:eastAsia="zh-CN"/>
        </w:rPr>
        <w:t>考虑到</w:t>
      </w:r>
      <w:r>
        <w:rPr>
          <w:rFonts w:ascii="Times New Roman" w:eastAsia="方正仿宋_GBK" w:hAnsi="Times New Roman" w:hint="eastAsia"/>
          <w:sz w:val="32"/>
          <w:szCs w:val="32"/>
          <w:lang w:val="en-US" w:eastAsia="zh-CN"/>
        </w:rPr>
        <w:t>近年来</w:t>
      </w:r>
      <w:r>
        <w:rPr>
          <w:rFonts w:ascii="Times New Roman" w:eastAsia="方正仿宋_GBK" w:hAnsi="Times New Roman" w:hint="eastAsia"/>
          <w:sz w:val="32"/>
          <w:szCs w:val="32"/>
        </w:rPr>
        <w:t>对外承包工程进出口贸易</w:t>
      </w:r>
      <w:r>
        <w:rPr>
          <w:rFonts w:ascii="Times New Roman" w:eastAsia="方正仿宋_GBK" w:hAnsi="Times New Roman" w:hint="eastAsia"/>
          <w:sz w:val="32"/>
          <w:szCs w:val="32"/>
          <w:lang w:val="en-US" w:eastAsia="zh-CN"/>
        </w:rPr>
        <w:t>总</w:t>
      </w:r>
      <w:r>
        <w:rPr>
          <w:rFonts w:ascii="Times New Roman" w:eastAsia="方正仿宋_GBK" w:hAnsi="Times New Roman" w:hint="eastAsia"/>
          <w:sz w:val="32"/>
          <w:szCs w:val="32"/>
        </w:rPr>
        <w:t>量</w:t>
      </w:r>
      <w:r>
        <w:rPr>
          <w:rFonts w:ascii="Times New Roman" w:eastAsia="方正仿宋_GBK" w:hAnsi="Times New Roman"/>
          <w:sz w:val="32"/>
          <w:szCs w:val="32"/>
        </w:rPr>
        <w:t>不断</w:t>
      </w:r>
      <w:r>
        <w:rPr>
          <w:rFonts w:ascii="Times New Roman" w:eastAsia="方正仿宋_GBK" w:hAnsi="Times New Roman" w:hint="eastAsia"/>
          <w:sz w:val="32"/>
          <w:szCs w:val="32"/>
        </w:rPr>
        <w:t>增长</w:t>
      </w:r>
      <w:r>
        <w:rPr>
          <w:rFonts w:ascii="Times New Roman" w:eastAsia="方正仿宋_GBK" w:hAnsi="Times New Roman"/>
          <w:sz w:val="32"/>
          <w:szCs w:val="32"/>
          <w:lang w:eastAsia="zh-CN"/>
        </w:rPr>
        <w:t>、</w:t>
      </w:r>
      <w:r>
        <w:rPr>
          <w:rFonts w:ascii="Times New Roman" w:eastAsia="方正仿宋_GBK" w:hAnsi="Times New Roman" w:hint="eastAsia"/>
          <w:sz w:val="32"/>
          <w:szCs w:val="32"/>
          <w:lang w:val="en-US" w:eastAsia="zh-CN"/>
        </w:rPr>
        <w:t>业态</w:t>
      </w:r>
      <w:r>
        <w:rPr>
          <w:rFonts w:ascii="Times New Roman" w:eastAsia="方正仿宋_GBK" w:hAnsi="Times New Roman"/>
          <w:sz w:val="32"/>
          <w:szCs w:val="32"/>
          <w:lang w:eastAsia="zh-CN"/>
        </w:rPr>
        <w:t>更加</w:t>
      </w:r>
      <w:r>
        <w:rPr>
          <w:rFonts w:ascii="Times New Roman" w:eastAsia="方正仿宋_GBK" w:hAnsi="Times New Roman" w:hint="eastAsia"/>
          <w:sz w:val="32"/>
          <w:szCs w:val="32"/>
          <w:lang w:val="en-US" w:eastAsia="zh-CN"/>
        </w:rPr>
        <w:t>复杂</w:t>
      </w:r>
      <w:r>
        <w:rPr>
          <w:rFonts w:ascii="Times New Roman" w:eastAsia="方正仿宋_GBK" w:hAnsi="Times New Roman"/>
          <w:sz w:val="32"/>
          <w:szCs w:val="32"/>
          <w:lang w:eastAsia="zh-CN"/>
        </w:rPr>
        <w:t>，</w:t>
      </w:r>
      <w:r>
        <w:rPr>
          <w:rFonts w:ascii="Times New Roman" w:eastAsia="方正仿宋_GBK" w:hAnsi="Times New Roman"/>
          <w:color w:val="auto"/>
          <w:sz w:val="32"/>
          <w:szCs w:val="32"/>
          <w:lang w:val="en-US" w:eastAsia="zh-CN"/>
        </w:rPr>
        <w:t>现行有关规定难以适应业务发展需要，我署拟制发公告就对外承包工程项目项下出口货物复运进境税收征管有关问题予以明确。</w:t>
      </w:r>
    </w:p>
    <w:p>
      <w:pPr>
        <w:pStyle w:val="18"/>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jc w:val="both"/>
        <w:textAlignment w:val="auto"/>
        <w:rPr>
          <w:rFonts w:ascii="方正黑体_GBK" w:eastAsia="方正黑体_GBK" w:cs="方正黑体_GBK" w:hint="eastAsia"/>
          <w:bCs/>
          <w:sz w:val="32"/>
          <w:szCs w:val="32"/>
          <w:lang w:bidi="ar-SA"/>
        </w:rPr>
      </w:pPr>
      <w:r>
        <w:rPr>
          <w:rFonts w:ascii="方正黑体_GBK" w:eastAsia="方正黑体_GBK" w:cs="方正黑体_GBK" w:hint="eastAsia"/>
          <w:bCs/>
          <w:sz w:val="32"/>
          <w:szCs w:val="32"/>
          <w:lang w:bidi="ar-SA"/>
        </w:rPr>
        <w:t>一、背景情况</w:t>
      </w:r>
    </w:p>
    <w:p>
      <w:pPr>
        <w:pStyle w:val="18"/>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jc w:val="both"/>
        <w:textAlignment w:val="auto"/>
        <w:rPr>
          <w:rFonts w:ascii="Times New Roman" w:eastAsia="方正仿宋_GBK" w:hAnsi="Times New Roman" w:hint="eastAsia"/>
          <w:sz w:val="32"/>
          <w:szCs w:val="32"/>
        </w:rPr>
      </w:pPr>
      <w:r>
        <w:rPr>
          <w:rFonts w:ascii="Times New Roman" w:eastAsia="方正仿宋_GBK" w:cs="Times New Roman" w:hAnsi="Times New Roman" w:hint="eastAsia"/>
          <w:bCs/>
          <w:sz w:val="32"/>
          <w:szCs w:val="32"/>
          <w:lang w:bidi="ar-SA"/>
        </w:rPr>
        <w:t>为积极支持企业“走出去”，原对外经济贸易合作部</w:t>
      </w:r>
      <w:r>
        <w:rPr>
          <w:rFonts w:ascii="Times New Roman" w:eastAsia="方正仿宋_GBK" w:cs="Times New Roman" w:hAnsi="Times New Roman"/>
          <w:bCs/>
          <w:sz w:val="32"/>
          <w:szCs w:val="32"/>
          <w:lang w:bidi="ar-SA"/>
        </w:rPr>
        <w:t>与海关总</w:t>
      </w:r>
      <w:r>
        <w:rPr>
          <w:rFonts w:ascii="Times New Roman" w:eastAsia="方正仿宋_GBK" w:cs="Times New Roman" w:hAnsi="Times New Roman" w:hint="eastAsia"/>
          <w:bCs/>
          <w:sz w:val="32"/>
          <w:szCs w:val="32"/>
          <w:lang w:bidi="ar-SA"/>
        </w:rPr>
        <w:t>署于2001年</w:t>
      </w:r>
      <w:r>
        <w:rPr>
          <w:rFonts w:ascii="Times New Roman" w:eastAsia="方正仿宋_GBK" w:cs="Times New Roman" w:hAnsi="Times New Roman"/>
          <w:bCs/>
          <w:sz w:val="32"/>
          <w:szCs w:val="32"/>
          <w:lang w:bidi="ar-SA"/>
        </w:rPr>
        <w:t>制定</w:t>
      </w:r>
      <w:r>
        <w:rPr>
          <w:rFonts w:ascii="Times New Roman" w:eastAsia="方正仿宋_GBK" w:cs="Times New Roman" w:hAnsi="Times New Roman" w:hint="eastAsia"/>
          <w:bCs/>
          <w:sz w:val="32"/>
          <w:szCs w:val="32"/>
          <w:lang w:bidi="ar-SA"/>
        </w:rPr>
        <w:t>了《关于对外承包工程项目项下出口设备材料的工作规程》（外贸合发〔2001〕579号），</w:t>
      </w:r>
      <w:r>
        <w:rPr>
          <w:rFonts w:ascii="Times New Roman" w:eastAsia="方正仿宋_GBK" w:hAnsi="Times New Roman" w:hint="eastAsia"/>
          <w:sz w:val="32"/>
          <w:szCs w:val="32"/>
        </w:rPr>
        <w:t>规定了对外承包工程项下出口货物及复运</w:t>
      </w:r>
      <w:r>
        <w:rPr>
          <w:rFonts w:ascii="Times New Roman" w:eastAsia="方正仿宋_GBK" w:hAnsi="Times New Roman"/>
          <w:sz w:val="32"/>
          <w:szCs w:val="32"/>
        </w:rPr>
        <w:t>进境</w:t>
      </w:r>
      <w:r>
        <w:rPr>
          <w:rFonts w:ascii="Times New Roman" w:eastAsia="方正仿宋_GBK" w:hAnsi="Times New Roman" w:hint="eastAsia"/>
          <w:sz w:val="32"/>
          <w:szCs w:val="32"/>
        </w:rPr>
        <w:t>货物的</w:t>
      </w:r>
      <w:r>
        <w:rPr>
          <w:rFonts w:ascii="Times New Roman" w:eastAsia="方正仿宋_GBK" w:hAnsi="Times New Roman"/>
          <w:sz w:val="32"/>
          <w:szCs w:val="32"/>
        </w:rPr>
        <w:t>进出口报关</w:t>
      </w:r>
      <w:r>
        <w:rPr>
          <w:rFonts w:ascii="Times New Roman" w:eastAsia="方正仿宋_GBK" w:hAnsi="Times New Roman" w:hint="eastAsia"/>
          <w:sz w:val="32"/>
          <w:szCs w:val="32"/>
        </w:rPr>
        <w:t>总体流程。</w:t>
      </w:r>
    </w:p>
    <w:p>
      <w:pPr>
        <w:pStyle w:val="18"/>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jc w:val="both"/>
        <w:textAlignment w:val="auto"/>
        <w:rPr>
          <w:rFonts w:ascii="Times New Roman" w:eastAsia="方正仿宋_GBK" w:hAnsi="Times New Roman"/>
          <w:color w:val="auto"/>
          <w:sz w:val="32"/>
          <w:szCs w:val="32"/>
        </w:rPr>
      </w:pPr>
      <w:r>
        <w:rPr>
          <w:rFonts w:ascii="Times New Roman" w:eastAsia="方正仿宋_GBK" w:hAnsi="Times New Roman" w:hint="eastAsia"/>
          <w:color w:val="auto"/>
          <w:sz w:val="32"/>
          <w:szCs w:val="32"/>
        </w:rPr>
        <w:t>为贯彻落实国家战略，支持企业拓展海外业务，</w:t>
      </w:r>
      <w:r>
        <w:rPr>
          <w:rFonts w:ascii="Times New Roman" w:eastAsia="方正仿宋_GBK" w:hAnsi="Times New Roman"/>
          <w:color w:val="auto"/>
          <w:sz w:val="32"/>
          <w:szCs w:val="32"/>
        </w:rPr>
        <w:t>海关总署</w:t>
      </w:r>
      <w:r>
        <w:rPr>
          <w:rFonts w:ascii="Times New Roman" w:eastAsia="方正仿宋_GBK" w:hAnsi="Times New Roman" w:hint="eastAsia"/>
          <w:color w:val="auto"/>
          <w:sz w:val="32"/>
          <w:szCs w:val="32"/>
        </w:rPr>
        <w:t>依据相关规定精神，结合与商务部等部门研讨的情况，</w:t>
      </w:r>
      <w:r>
        <w:rPr>
          <w:rFonts w:ascii="Times New Roman" w:eastAsia="方正仿宋_GBK" w:cs="Times New Roman" w:hAnsi="Times New Roman" w:hint="eastAsia"/>
          <w:bCs/>
          <w:sz w:val="32"/>
          <w:szCs w:val="32"/>
          <w:lang w:bidi="ar-SA"/>
        </w:rPr>
        <w:t>于2013年</w:t>
      </w:r>
      <w:r>
        <w:rPr>
          <w:rFonts w:ascii="Times New Roman" w:eastAsia="方正仿宋_GBK" w:cs="Times New Roman" w:hAnsi="Times New Roman"/>
          <w:bCs/>
          <w:sz w:val="32"/>
          <w:szCs w:val="32"/>
          <w:lang w:bidi="ar-SA"/>
        </w:rPr>
        <w:t>印发了</w:t>
      </w:r>
      <w:r>
        <w:rPr>
          <w:rFonts w:ascii="Times New Roman" w:eastAsia="方正仿宋_GBK" w:cs="Times New Roman" w:hAnsi="Times New Roman" w:hint="eastAsia"/>
          <w:bCs/>
          <w:sz w:val="32"/>
          <w:szCs w:val="32"/>
          <w:lang w:bidi="ar-SA"/>
        </w:rPr>
        <w:t>《海关总署关于明确对外承包工程项目项下出口设备材料复运进境有关问题的通知》（署税发〔2013〕35号），</w:t>
      </w:r>
      <w:r>
        <w:rPr>
          <w:rFonts w:ascii="Times New Roman" w:eastAsia="方正仿宋_GBK" w:cs="Times New Roman" w:hAnsi="Times New Roman"/>
          <w:bCs/>
          <w:sz w:val="32"/>
          <w:szCs w:val="32"/>
          <w:lang w:bidi="ar-SA"/>
        </w:rPr>
        <w:t>规定</w:t>
      </w:r>
      <w:r>
        <w:rPr>
          <w:rFonts w:ascii="Times New Roman" w:eastAsia="方正仿宋_GBK" w:cs="Times New Roman" w:hAnsi="Times New Roman" w:hint="eastAsia"/>
          <w:bCs/>
          <w:sz w:val="32"/>
          <w:szCs w:val="32"/>
          <w:lang w:bidi="ar-SA"/>
        </w:rPr>
        <w:t>对外承包工程项目项下出口</w:t>
      </w:r>
      <w:r>
        <w:rPr>
          <w:rFonts w:ascii="Times New Roman" w:eastAsia="方正仿宋_GBK" w:hAnsi="Times New Roman" w:hint="eastAsia"/>
          <w:color w:val="auto"/>
          <w:sz w:val="32"/>
          <w:szCs w:val="32"/>
        </w:rPr>
        <w:t>并在完工后运回的设备、仪器及用品，有条件免征关税和进口环节</w:t>
      </w:r>
      <w:r>
        <w:rPr>
          <w:rFonts w:ascii="Times New Roman" w:eastAsia="方正仿宋_GBK" w:hAnsi="Times New Roman"/>
          <w:color w:val="auto"/>
          <w:sz w:val="32"/>
          <w:szCs w:val="32"/>
        </w:rPr>
        <w:t>海关代征</w:t>
      </w:r>
      <w:r>
        <w:rPr>
          <w:rFonts w:ascii="Times New Roman" w:eastAsia="方正仿宋_GBK" w:hAnsi="Times New Roman" w:hint="eastAsia"/>
          <w:color w:val="auto"/>
          <w:sz w:val="32"/>
          <w:szCs w:val="32"/>
        </w:rPr>
        <w:t>税。具体规定为：在项目合同规定的工程期限届满后的规定期限（包括经海关同意延长的期限）内复运进境，海关能够确认为原出口货物，单证齐全，</w:t>
      </w:r>
      <w:r>
        <w:rPr>
          <w:rFonts w:ascii="Times New Roman" w:eastAsia="方正仿宋_GBK" w:hAnsi="Times New Roman"/>
          <w:color w:val="auto"/>
          <w:sz w:val="32"/>
          <w:szCs w:val="32"/>
        </w:rPr>
        <w:t>且</w:t>
      </w:r>
      <w:r>
        <w:rPr>
          <w:rFonts w:ascii="Times New Roman" w:eastAsia="方正仿宋_GBK" w:hAnsi="Times New Roman" w:hint="eastAsia"/>
          <w:color w:val="auto"/>
          <w:sz w:val="32"/>
          <w:szCs w:val="32"/>
        </w:rPr>
        <w:t>具有国内税务机关的出口未退税证明的，不征收进口关税和进口环节</w:t>
      </w:r>
      <w:r>
        <w:rPr>
          <w:rFonts w:ascii="Times New Roman" w:eastAsia="方正仿宋_GBK" w:hAnsi="Times New Roman"/>
          <w:color w:val="auto"/>
          <w:sz w:val="32"/>
          <w:szCs w:val="32"/>
        </w:rPr>
        <w:t>海关代征</w:t>
      </w:r>
      <w:r>
        <w:rPr>
          <w:rFonts w:ascii="Times New Roman" w:eastAsia="方正仿宋_GBK" w:hAnsi="Times New Roman" w:hint="eastAsia"/>
          <w:color w:val="auto"/>
          <w:sz w:val="32"/>
          <w:szCs w:val="32"/>
        </w:rPr>
        <w:t>税；超过规定期限复运进境的，海关按照一般贸易进口货物办理相关手续，并照章征税。</w:t>
      </w:r>
    </w:p>
    <w:p>
      <w:pPr>
        <w:adjustRightInd w:val="0"/>
        <w:snapToGrid w:val="0"/>
        <w:spacing w:line="560" w:lineRule="exact"/>
        <w:ind w:firstLineChars="200" w:firstLine="640"/>
        <w:rPr>
          <w:rFonts w:ascii="Times New Roman" w:eastAsia="方正仿宋_GBK" w:cs="Times New Roman" w:hAnsi="Times New Roman"/>
          <w:bCs/>
          <w:sz w:val="32"/>
          <w:szCs w:val="32"/>
          <w:lang w:bidi="ar-SA"/>
        </w:rPr>
      </w:pPr>
      <w:r>
        <w:rPr>
          <w:rFonts w:ascii="Times New Roman" w:eastAsia="方正仿宋_GBK" w:cs="Times New Roman" w:hAnsi="Times New Roman" w:hint="eastAsia"/>
          <w:bCs/>
          <w:sz w:val="32"/>
          <w:szCs w:val="32"/>
          <w:lang w:bidi="ar-SA"/>
        </w:rPr>
        <w:t>上述规定</w:t>
      </w:r>
      <w:r>
        <w:rPr>
          <w:rFonts w:ascii="Times New Roman" w:eastAsia="方正仿宋_GBK" w:cs="Times New Roman" w:hAnsi="Times New Roman" w:hint="eastAsia"/>
          <w:sz w:val="32"/>
          <w:szCs w:val="32"/>
          <w:lang w:val="en-US" w:eastAsia="zh-CN" w:bidi="ar-SA"/>
        </w:rPr>
        <w:t>将</w:t>
      </w:r>
      <w:r>
        <w:rPr>
          <w:rFonts w:ascii="Times New Roman" w:eastAsia="方正仿宋_GBK" w:cs="Times New Roman" w:hAnsi="Times New Roman" w:hint="eastAsia"/>
          <w:sz w:val="32"/>
          <w:szCs w:val="32"/>
          <w:lang w:bidi="ar-SA"/>
        </w:rPr>
        <w:t>对外承包工程</w:t>
      </w:r>
      <w:r>
        <w:rPr>
          <w:rFonts w:ascii="Times New Roman" w:eastAsia="方正仿宋_GBK" w:cs="Times New Roman" w:hAnsi="Times New Roman" w:hint="eastAsia"/>
          <w:sz w:val="32"/>
          <w:szCs w:val="32"/>
          <w:lang w:val="en-US" w:eastAsia="zh-CN" w:bidi="ar-SA"/>
        </w:rPr>
        <w:t>项下</w:t>
      </w:r>
      <w:r>
        <w:rPr>
          <w:rFonts w:ascii="Times New Roman" w:eastAsia="方正仿宋_GBK" w:cs="Times New Roman" w:hAnsi="Times New Roman"/>
          <w:sz w:val="32"/>
          <w:szCs w:val="32"/>
          <w:lang w:eastAsia="zh-CN" w:bidi="ar-SA"/>
        </w:rPr>
        <w:t>复运进境</w:t>
      </w:r>
      <w:r>
        <w:rPr>
          <w:rFonts w:ascii="Times New Roman" w:eastAsia="方正仿宋_GBK" w:cs="Times New Roman" w:hAnsi="Times New Roman" w:hint="eastAsia"/>
          <w:sz w:val="32"/>
          <w:szCs w:val="32"/>
          <w:lang w:val="en-US" w:eastAsia="zh-CN" w:bidi="ar-SA"/>
        </w:rPr>
        <w:t>货物</w:t>
      </w:r>
      <w:r>
        <w:rPr>
          <w:rFonts w:ascii="Times New Roman" w:eastAsia="方正仿宋_GBK" w:cs="Times New Roman" w:hAnsi="Times New Roman" w:hint="eastAsia"/>
          <w:sz w:val="32"/>
          <w:szCs w:val="32"/>
          <w:lang w:bidi="ar-SA"/>
        </w:rPr>
        <w:t>与</w:t>
      </w:r>
      <w:r>
        <w:rPr>
          <w:rFonts w:ascii="Times New Roman" w:eastAsia="方正仿宋_GBK" w:cs="Times New Roman" w:hAnsi="Times New Roman"/>
          <w:sz w:val="32"/>
          <w:szCs w:val="32"/>
          <w:lang w:bidi="ar-SA"/>
        </w:rPr>
        <w:t>一般贸易进口</w:t>
      </w:r>
      <w:r>
        <w:rPr>
          <w:rFonts w:ascii="Times New Roman" w:eastAsia="方正仿宋_GBK" w:cs="Times New Roman" w:hAnsi="Times New Roman" w:hint="eastAsia"/>
          <w:sz w:val="32"/>
          <w:szCs w:val="32"/>
          <w:lang w:val="en-US" w:eastAsia="zh-CN" w:bidi="ar-SA"/>
        </w:rPr>
        <w:t>货物</w:t>
      </w:r>
      <w:r>
        <w:rPr>
          <w:rFonts w:ascii="Times New Roman" w:eastAsia="方正仿宋_GBK" w:cs="Times New Roman" w:hAnsi="Times New Roman" w:hint="eastAsia"/>
          <w:sz w:val="32"/>
          <w:szCs w:val="32"/>
          <w:lang w:bidi="ar-SA"/>
        </w:rPr>
        <w:t>进行</w:t>
      </w:r>
      <w:r>
        <w:rPr>
          <w:rFonts w:ascii="Times New Roman" w:eastAsia="方正仿宋_GBK" w:cs="Times New Roman" w:hAnsi="Times New Roman"/>
          <w:sz w:val="32"/>
          <w:szCs w:val="32"/>
          <w:lang w:bidi="ar-SA"/>
        </w:rPr>
        <w:t>了</w:t>
      </w:r>
      <w:r>
        <w:rPr>
          <w:rFonts w:ascii="Times New Roman" w:eastAsia="方正仿宋_GBK" w:cs="Times New Roman" w:hAnsi="Times New Roman" w:hint="eastAsia"/>
          <w:sz w:val="32"/>
          <w:szCs w:val="32"/>
          <w:lang w:bidi="ar-SA"/>
        </w:rPr>
        <w:t>区分，</w:t>
      </w:r>
      <w:r>
        <w:rPr>
          <w:rFonts w:ascii="Times New Roman" w:eastAsia="方正仿宋_GBK" w:cs="Times New Roman" w:hAnsi="Times New Roman" w:hint="eastAsia"/>
          <w:bCs/>
          <w:sz w:val="32"/>
          <w:szCs w:val="32"/>
          <w:lang w:bidi="ar-SA"/>
        </w:rPr>
        <w:t>在保障海关监管的同时</w:t>
      </w:r>
      <w:r>
        <w:rPr>
          <w:rFonts w:ascii="Times New Roman" w:eastAsia="方正仿宋_GBK" w:cs="Times New Roman" w:hAnsi="Times New Roman"/>
          <w:bCs/>
          <w:sz w:val="32"/>
          <w:szCs w:val="32"/>
          <w:lang w:bidi="ar-SA"/>
        </w:rPr>
        <w:t>增强了企业对外承揽工程项目的竞争力，有效助力我国企业</w:t>
      </w:r>
      <w:r>
        <w:rPr>
          <w:rFonts w:ascii="方正仿宋_GBK" w:eastAsia="方正仿宋_GBK" w:cs="方正仿宋_GBK" w:hint="eastAsia"/>
          <w:bCs/>
          <w:sz w:val="32"/>
          <w:szCs w:val="32"/>
          <w:lang w:bidi="ar-SA"/>
        </w:rPr>
        <w:t>“走出去”</w:t>
      </w:r>
      <w:r>
        <w:rPr>
          <w:rFonts w:ascii="Times New Roman" w:eastAsia="方正仿宋_GBK" w:cs="Times New Roman" w:hAnsi="Times New Roman"/>
          <w:bCs/>
          <w:sz w:val="32"/>
          <w:szCs w:val="32"/>
          <w:lang w:bidi="ar-SA"/>
        </w:rPr>
        <w:t>。</w:t>
      </w:r>
    </w:p>
    <w:p>
      <w:pPr>
        <w:adjustRightInd w:val="0"/>
        <w:snapToGrid w:val="0"/>
        <w:spacing w:line="560" w:lineRule="exact"/>
        <w:ind w:firstLineChars="200" w:firstLine="640"/>
        <w:rPr>
          <w:rFonts w:ascii="方正黑体_GBK" w:eastAsia="方正黑体_GBK" w:cs="方正黑体_GBK" w:hint="eastAsia"/>
          <w:bCs/>
          <w:sz w:val="32"/>
          <w:szCs w:val="32"/>
          <w:lang w:bidi="ar-SA"/>
        </w:rPr>
      </w:pPr>
      <w:r>
        <w:rPr>
          <w:rFonts w:ascii="方正黑体_GBK" w:eastAsia="方正黑体_GBK" w:cs="方正黑体_GBK" w:hint="eastAsia"/>
          <w:bCs/>
          <w:sz w:val="32"/>
          <w:szCs w:val="32"/>
          <w:lang w:bidi="ar-SA"/>
        </w:rPr>
        <w:t>二、存在问题</w:t>
      </w:r>
    </w:p>
    <w:p>
      <w:pPr>
        <w:pStyle w:val="22"/>
        <w:keepNext w:val="0"/>
        <w:keepLines w:val="0"/>
        <w:pageBreakBefore w:val="0"/>
        <w:widowControl w:val="0"/>
        <w:kinsoku/>
        <w:wordWrap/>
        <w:overflowPunct/>
        <w:topLinePunct w:val="0"/>
        <w:autoSpaceDE/>
        <w:autoSpaceDN/>
        <w:adjustRightInd w:val="0"/>
        <w:snapToGrid w:val="0"/>
        <w:spacing w:line="560" w:lineRule="exact"/>
        <w:ind w:left="0" w:firstLineChars="200" w:firstLine="640"/>
        <w:rPr>
          <w:rFonts w:ascii="Times New Roman" w:eastAsia="方正仿宋_GBK" w:hAnsi="Times New Roman"/>
          <w:sz w:val="32"/>
          <w:szCs w:val="32"/>
          <w:lang w:eastAsia="zh-CN"/>
        </w:rPr>
      </w:pPr>
      <w:r>
        <w:rPr>
          <w:rFonts w:ascii="Times New Roman" w:eastAsia="方正仿宋_GBK" w:hAnsi="Times New Roman" w:hint="eastAsia"/>
          <w:sz w:val="32"/>
          <w:szCs w:val="32"/>
          <w:lang w:val="en-US" w:eastAsia="zh-CN"/>
        </w:rPr>
        <w:t>近年来</w:t>
      </w:r>
      <w:r>
        <w:rPr>
          <w:rFonts w:ascii="Times New Roman" w:eastAsia="方正仿宋_GBK" w:hAnsi="Times New Roman"/>
          <w:sz w:val="32"/>
          <w:szCs w:val="32"/>
          <w:lang w:val="en-US" w:eastAsia="zh-CN"/>
        </w:rPr>
        <w:t>，我国</w:t>
      </w:r>
      <w:r>
        <w:rPr>
          <w:rFonts w:ascii="Times New Roman" w:eastAsia="方正仿宋_GBK" w:hAnsi="Times New Roman" w:hint="eastAsia"/>
          <w:sz w:val="32"/>
          <w:szCs w:val="32"/>
        </w:rPr>
        <w:t>对外承包工程进出口贸易</w:t>
      </w:r>
      <w:r>
        <w:rPr>
          <w:rFonts w:ascii="Times New Roman" w:eastAsia="方正仿宋_GBK" w:hAnsi="Times New Roman" w:hint="eastAsia"/>
          <w:sz w:val="32"/>
          <w:szCs w:val="32"/>
          <w:lang w:val="en-US" w:eastAsia="zh-CN"/>
        </w:rPr>
        <w:t>总</w:t>
      </w:r>
      <w:r>
        <w:rPr>
          <w:rFonts w:ascii="Times New Roman" w:eastAsia="方正仿宋_GBK" w:hAnsi="Times New Roman" w:hint="eastAsia"/>
          <w:sz w:val="32"/>
          <w:szCs w:val="32"/>
        </w:rPr>
        <w:t>量</w:t>
      </w:r>
      <w:r>
        <w:rPr>
          <w:rFonts w:ascii="Times New Roman" w:eastAsia="方正仿宋_GBK" w:hAnsi="Times New Roman"/>
          <w:sz w:val="32"/>
          <w:szCs w:val="32"/>
        </w:rPr>
        <w:t>不断</w:t>
      </w:r>
      <w:r>
        <w:rPr>
          <w:rFonts w:ascii="Times New Roman" w:eastAsia="方正仿宋_GBK" w:hAnsi="Times New Roman" w:hint="eastAsia"/>
          <w:sz w:val="32"/>
          <w:szCs w:val="32"/>
        </w:rPr>
        <w:t>增长</w:t>
      </w:r>
      <w:r>
        <w:rPr>
          <w:rFonts w:ascii="Times New Roman" w:eastAsia="方正仿宋_GBK" w:hAnsi="Times New Roman"/>
          <w:sz w:val="32"/>
          <w:szCs w:val="32"/>
          <w:lang w:eastAsia="zh-CN"/>
        </w:rPr>
        <w:t>、</w:t>
      </w:r>
      <w:r>
        <w:rPr>
          <w:rFonts w:ascii="Times New Roman" w:eastAsia="方正仿宋_GBK" w:hAnsi="Times New Roman" w:hint="eastAsia"/>
          <w:sz w:val="32"/>
          <w:szCs w:val="32"/>
          <w:lang w:val="en-US" w:eastAsia="zh-CN"/>
        </w:rPr>
        <w:t>业态</w:t>
      </w:r>
      <w:r>
        <w:rPr>
          <w:rFonts w:ascii="Times New Roman" w:eastAsia="方正仿宋_GBK" w:hAnsi="Times New Roman"/>
          <w:sz w:val="32"/>
          <w:szCs w:val="32"/>
          <w:lang w:eastAsia="zh-CN"/>
        </w:rPr>
        <w:t>更加</w:t>
      </w:r>
      <w:r>
        <w:rPr>
          <w:rFonts w:ascii="Times New Roman" w:eastAsia="方正仿宋_GBK" w:hAnsi="Times New Roman" w:hint="eastAsia"/>
          <w:sz w:val="32"/>
          <w:szCs w:val="32"/>
          <w:lang w:val="en-US" w:eastAsia="zh-CN"/>
        </w:rPr>
        <w:t>复杂</w:t>
      </w:r>
      <w:r>
        <w:rPr>
          <w:rFonts w:ascii="Times New Roman" w:eastAsia="方正仿宋_GBK" w:hAnsi="Times New Roman"/>
          <w:sz w:val="32"/>
          <w:szCs w:val="32"/>
          <w:lang w:eastAsia="zh-CN"/>
        </w:rPr>
        <w:t>，</w:t>
      </w:r>
      <w:r>
        <w:rPr>
          <w:rFonts w:ascii="Times New Roman" w:eastAsia="方正仿宋_GBK" w:cs="方正仿宋_GBK" w:hAnsi="Times New Roman"/>
          <w:sz w:val="32"/>
          <w:szCs w:val="32"/>
          <w:lang w:eastAsia="zh-CN"/>
        </w:rPr>
        <w:t>因在项目完工后需在工程缺陷期或质保期继续使用、转场施工、未及时签订延期合同等原因，部分企业的设备</w:t>
      </w:r>
      <w:r>
        <w:rPr>
          <w:rFonts w:ascii="Times New Roman" w:eastAsia="方正仿宋_GBK" w:hAnsi="Times New Roman" w:hint="eastAsia"/>
          <w:color w:val="auto"/>
          <w:sz w:val="32"/>
          <w:szCs w:val="32"/>
        </w:rPr>
        <w:t>、仪器及用品</w:t>
      </w:r>
      <w:r>
        <w:rPr>
          <w:rFonts w:ascii="Times New Roman" w:eastAsia="方正仿宋_GBK" w:cs="方正仿宋_GBK" w:hAnsi="Times New Roman"/>
          <w:sz w:val="32"/>
          <w:szCs w:val="32"/>
          <w:lang w:eastAsia="zh-CN"/>
        </w:rPr>
        <w:t>难以在规定期限内复运进境。</w:t>
      </w:r>
      <w:r>
        <w:rPr>
          <w:rFonts w:ascii="Times New Roman" w:eastAsia="方正仿宋_GBK" w:cs="Times New Roman" w:hAnsi="Times New Roman"/>
          <w:bCs/>
          <w:kern w:val="2"/>
          <w:sz w:val="32"/>
          <w:szCs w:val="32"/>
          <w:lang w:eastAsia="zh-CN" w:bidi="ar-SA"/>
        </w:rPr>
        <w:t>企业因故不能在规定期限内将设备</w:t>
      </w:r>
      <w:r>
        <w:rPr>
          <w:rFonts w:ascii="Times New Roman" w:eastAsia="方正仿宋_GBK" w:hAnsi="Times New Roman" w:hint="eastAsia"/>
          <w:color w:val="auto"/>
          <w:sz w:val="32"/>
          <w:szCs w:val="32"/>
        </w:rPr>
        <w:t>、仪器及用品</w:t>
      </w:r>
      <w:r>
        <w:rPr>
          <w:rFonts w:ascii="Times New Roman" w:eastAsia="方正仿宋_GBK" w:cs="Times New Roman" w:hAnsi="Times New Roman"/>
          <w:bCs/>
          <w:kern w:val="2"/>
          <w:sz w:val="32"/>
          <w:szCs w:val="32"/>
          <w:lang w:eastAsia="zh-CN" w:bidi="ar-SA"/>
        </w:rPr>
        <w:t>复运进境</w:t>
      </w:r>
      <w:r>
        <w:rPr>
          <w:rFonts w:ascii="Times New Roman" w:eastAsia="方正仿宋_GBK" w:hAnsi="Times New Roman"/>
          <w:sz w:val="32"/>
          <w:szCs w:val="32"/>
        </w:rPr>
        <w:t>，</w:t>
      </w:r>
      <w:r>
        <w:rPr>
          <w:rFonts w:ascii="Times New Roman" w:eastAsia="方正仿宋_GBK" w:cs="Times New Roman" w:hAnsi="Times New Roman"/>
          <w:bCs/>
          <w:kern w:val="2"/>
          <w:sz w:val="32"/>
          <w:szCs w:val="32"/>
          <w:lang w:eastAsia="zh-CN" w:bidi="ar-SA"/>
        </w:rPr>
        <w:t>相关货物再进口时，须按规定征税，部分企业干脆选择将有价值的设备弃置境外。相关企业及行业协会急切期盼有关部门对相关规定进行修改完善，</w:t>
      </w:r>
      <w:r>
        <w:rPr>
          <w:rFonts w:ascii="Times New Roman" w:eastAsia="方正仿宋_GBK" w:hAnsi="Times New Roman"/>
          <w:sz w:val="32"/>
          <w:szCs w:val="32"/>
          <w:lang w:eastAsia="zh-CN"/>
        </w:rPr>
        <w:t>全国政协委员也多次</w:t>
      </w:r>
      <w:r>
        <w:rPr>
          <w:rFonts w:ascii="Times New Roman" w:eastAsia="方正仿宋_GBK" w:hAnsi="Times New Roman" w:hint="eastAsia"/>
          <w:sz w:val="32"/>
          <w:szCs w:val="32"/>
          <w:lang w:val="en-US" w:eastAsia="zh-CN"/>
        </w:rPr>
        <w:t>提出</w:t>
      </w:r>
      <w:r>
        <w:rPr>
          <w:rFonts w:ascii="Times New Roman" w:eastAsia="方正仿宋_GBK" w:hAnsi="Times New Roman" w:hint="eastAsia"/>
          <w:sz w:val="32"/>
          <w:szCs w:val="32"/>
        </w:rPr>
        <w:t>现行政策规定</w:t>
      </w:r>
      <w:r>
        <w:rPr>
          <w:rFonts w:ascii="Times New Roman" w:eastAsia="方正仿宋_GBK" w:hAnsi="Times New Roman"/>
          <w:sz w:val="32"/>
          <w:szCs w:val="32"/>
        </w:rPr>
        <w:t>难以</w:t>
      </w:r>
      <w:r>
        <w:rPr>
          <w:rFonts w:ascii="Times New Roman" w:eastAsia="方正仿宋_GBK" w:hAnsi="Times New Roman" w:hint="eastAsia"/>
          <w:sz w:val="32"/>
          <w:szCs w:val="32"/>
        </w:rPr>
        <w:t>满足贸易发展的现实需求，</w:t>
      </w:r>
      <w:r>
        <w:rPr>
          <w:rFonts w:ascii="Times New Roman" w:eastAsia="方正仿宋_GBK" w:hAnsi="Times New Roman"/>
          <w:sz w:val="32"/>
          <w:szCs w:val="32"/>
          <w:lang w:eastAsia="zh-CN"/>
        </w:rPr>
        <w:t>建议予以调整。2024年海关税收征管专项审计中，审计署指出</w:t>
      </w:r>
      <w:r>
        <w:rPr>
          <w:rFonts w:ascii="Times New Roman" w:eastAsia="方正仿宋_GBK" w:hAnsi="Times New Roman" w:hint="eastAsia"/>
          <w:sz w:val="32"/>
          <w:szCs w:val="32"/>
          <w:lang w:eastAsia="zh-CN"/>
        </w:rPr>
        <w:t>“</w:t>
      </w:r>
      <w:r>
        <w:rPr>
          <w:rFonts w:ascii="Times New Roman" w:eastAsia="方正仿宋_GBK" w:hAnsi="Times New Roman"/>
          <w:sz w:val="32"/>
          <w:szCs w:val="32"/>
          <w:lang w:eastAsia="zh-CN"/>
        </w:rPr>
        <w:t>海关总署未主动服务解决对外承包工程出口设备材料复运进境免税问题，增加境外施工企业负担。</w:t>
      </w:r>
      <w:r>
        <w:rPr>
          <w:rFonts w:ascii="Times New Roman" w:eastAsia="方正仿宋_GBK" w:hAnsi="Times New Roman" w:hint="eastAsia"/>
          <w:sz w:val="32"/>
          <w:szCs w:val="32"/>
          <w:lang w:eastAsia="zh-CN"/>
        </w:rPr>
        <w:t>”</w:t>
      </w:r>
    </w:p>
    <w:p>
      <w:pPr>
        <w:adjustRightInd w:val="0"/>
        <w:snapToGrid w:val="0"/>
        <w:spacing w:line="560" w:lineRule="exact"/>
        <w:ind w:firstLineChars="200" w:firstLine="640"/>
        <w:rPr>
          <w:rFonts w:ascii="方正黑体_GBK" w:eastAsia="方正黑体_GBK" w:cs="方正黑体_GBK"/>
          <w:bCs/>
          <w:sz w:val="32"/>
          <w:szCs w:val="32"/>
          <w:lang w:bidi="ar-SA"/>
        </w:rPr>
      </w:pPr>
      <w:r>
        <w:rPr>
          <w:rFonts w:ascii="方正黑体_GBK" w:eastAsia="方正黑体_GBK" w:cs="方正黑体_GBK" w:hint="eastAsia"/>
          <w:bCs/>
          <w:sz w:val="32"/>
          <w:szCs w:val="32"/>
          <w:lang w:bidi="ar-SA"/>
        </w:rPr>
        <w:t>三、</w:t>
      </w:r>
      <w:r>
        <w:rPr>
          <w:rFonts w:ascii="方正黑体_GBK" w:eastAsia="方正黑体_GBK" w:cs="方正黑体_GBK"/>
          <w:bCs/>
          <w:sz w:val="32"/>
          <w:szCs w:val="32"/>
          <w:lang w:bidi="ar-SA"/>
        </w:rPr>
        <w:t>公告主要内容</w:t>
      </w:r>
    </w:p>
    <w:p>
      <w:pPr>
        <w:adjustRightInd w:val="0"/>
        <w:snapToGrid w:val="0"/>
        <w:spacing w:line="560" w:lineRule="exact"/>
        <w:ind w:firstLineChars="200" w:firstLine="624"/>
        <w:rPr>
          <w:rFonts w:ascii="Times New Roman" w:eastAsia="方正仿宋_GBK" w:cs="方正仿宋_GBK" w:hAnsi="Times New Roman"/>
          <w:sz w:val="32"/>
          <w:szCs w:val="32"/>
        </w:rPr>
      </w:pPr>
      <w:r>
        <w:rPr>
          <w:rFonts w:ascii="方正仿宋_GBK" w:eastAsia="方正仿宋_GBK" w:cs="方正仿宋_GBK"/>
          <w:spacing w:val="-4"/>
          <w:sz w:val="32"/>
          <w:szCs w:val="32"/>
        </w:rPr>
        <w:t>经会同相关部门</w:t>
      </w:r>
      <w:r>
        <w:rPr>
          <w:rFonts w:ascii="方正仿宋_GBK" w:eastAsia="方正仿宋_GBK" w:cs="方正仿宋_GBK" w:hint="eastAsia"/>
          <w:spacing w:val="-4"/>
          <w:sz w:val="32"/>
          <w:szCs w:val="32"/>
        </w:rPr>
        <w:t>深入调研论证、广泛听取</w:t>
      </w:r>
      <w:r>
        <w:rPr>
          <w:rFonts w:ascii="Times New Roman" w:eastAsia="方正仿宋_GBK" w:cs="方正仿宋_GBK" w:hAnsi="Times New Roman"/>
          <w:sz w:val="32"/>
          <w:szCs w:val="32"/>
          <w:lang w:bidi="ar-SA"/>
        </w:rPr>
        <w:t>外承包工程企业</w:t>
      </w:r>
      <w:r>
        <w:rPr>
          <w:rFonts w:ascii="方正仿宋_GBK" w:eastAsia="方正仿宋_GBK" w:cs="方正仿宋_GBK" w:hint="eastAsia"/>
          <w:spacing w:val="-4"/>
          <w:sz w:val="32"/>
          <w:szCs w:val="32"/>
        </w:rPr>
        <w:t>意见</w:t>
      </w:r>
      <w:r>
        <w:rPr>
          <w:rFonts w:ascii="方正仿宋_GBK" w:eastAsia="方正仿宋_GBK" w:cs="方正仿宋_GBK"/>
          <w:spacing w:val="-4"/>
          <w:sz w:val="32"/>
          <w:szCs w:val="32"/>
        </w:rPr>
        <w:t>建议</w:t>
      </w:r>
      <w:r>
        <w:rPr>
          <w:rFonts w:ascii="方正仿宋_GBK" w:eastAsia="方正仿宋_GBK" w:cs="方正仿宋_GBK" w:hint="eastAsia"/>
          <w:spacing w:val="-4"/>
          <w:sz w:val="32"/>
          <w:szCs w:val="32"/>
        </w:rPr>
        <w:t>，</w:t>
      </w:r>
      <w:r>
        <w:rPr>
          <w:rFonts w:ascii="方正仿宋_GBK" w:eastAsia="方正仿宋_GBK" w:cs="方正仿宋_GBK"/>
          <w:spacing w:val="-4"/>
          <w:sz w:val="32"/>
          <w:szCs w:val="32"/>
        </w:rPr>
        <w:t>我们</w:t>
      </w:r>
      <w:r>
        <w:rPr>
          <w:rFonts w:ascii="方正仿宋_GBK" w:eastAsia="方正仿宋_GBK" w:cs="方正仿宋_GBK" w:hint="eastAsia"/>
          <w:spacing w:val="-4"/>
          <w:sz w:val="32"/>
          <w:szCs w:val="32"/>
        </w:rPr>
        <w:t>起草了</w:t>
      </w:r>
      <w:r>
        <w:rPr>
          <w:rFonts w:ascii="方正仿宋_GBK" w:eastAsia="方正仿宋_GBK" w:cs="方正仿宋_GBK"/>
          <w:spacing w:val="-4"/>
          <w:sz w:val="32"/>
          <w:szCs w:val="32"/>
        </w:rPr>
        <w:t>本公告。公告就</w:t>
      </w:r>
      <w:r>
        <w:rPr>
          <w:rFonts w:ascii="方正仿宋_GBK" w:eastAsia="方正仿宋_GBK" w:cs="方正仿宋_GBK" w:hint="eastAsia"/>
          <w:spacing w:val="-4"/>
          <w:sz w:val="32"/>
          <w:szCs w:val="32"/>
        </w:rPr>
        <w:t>对外承包工程项下</w:t>
      </w:r>
      <w:r>
        <w:rPr>
          <w:rFonts w:ascii="方正仿宋_GBK" w:eastAsia="方正仿宋_GBK" w:cs="方正仿宋_GBK"/>
          <w:spacing w:val="-4"/>
          <w:sz w:val="32"/>
          <w:szCs w:val="32"/>
        </w:rPr>
        <w:t>出口货物</w:t>
      </w:r>
      <w:r>
        <w:rPr>
          <w:rFonts w:ascii="方正仿宋_GBK" w:eastAsia="方正仿宋_GBK" w:cs="方正仿宋_GBK" w:hint="eastAsia"/>
          <w:spacing w:val="-4"/>
          <w:sz w:val="32"/>
          <w:szCs w:val="32"/>
        </w:rPr>
        <w:t>复运进境</w:t>
      </w:r>
      <w:r>
        <w:rPr>
          <w:rFonts w:ascii="方正仿宋_GBK" w:eastAsia="方正仿宋_GBK" w:cs="方正仿宋_GBK"/>
          <w:spacing w:val="-4"/>
          <w:sz w:val="32"/>
          <w:szCs w:val="32"/>
        </w:rPr>
        <w:t>不征税规定进行了优化</w:t>
      </w:r>
      <w:r>
        <w:rPr>
          <w:rFonts w:ascii="方正仿宋_GBK" w:eastAsia="方正仿宋_GBK" w:cs="方正仿宋_GBK" w:hint="eastAsia"/>
          <w:spacing w:val="-4"/>
          <w:sz w:val="32"/>
          <w:szCs w:val="32"/>
        </w:rPr>
        <w:t>，</w:t>
      </w:r>
      <w:r>
        <w:rPr>
          <w:rFonts w:ascii="方正仿宋_GBK" w:eastAsia="方正仿宋_GBK" w:cs="方正仿宋_GBK"/>
          <w:spacing w:val="-4"/>
          <w:sz w:val="32"/>
          <w:szCs w:val="32"/>
        </w:rPr>
        <w:t>主要体现在以下三方面：一是将复运进境的期限由</w:t>
      </w:r>
      <w:r>
        <w:rPr>
          <w:rFonts w:eastAsia="方正仿宋_GBK" w:cs="Times New Roman"/>
          <w:spacing w:val="-4"/>
          <w:sz w:val="32"/>
          <w:szCs w:val="32"/>
        </w:rPr>
        <w:t>3</w:t>
      </w:r>
      <w:r>
        <w:rPr>
          <w:rFonts w:ascii="方正仿宋_GBK" w:eastAsia="方正仿宋_GBK" w:cs="方正仿宋_GBK"/>
          <w:spacing w:val="-4"/>
          <w:sz w:val="32"/>
          <w:szCs w:val="32"/>
        </w:rPr>
        <w:t>个月延长至</w:t>
      </w:r>
      <w:r>
        <w:rPr>
          <w:rFonts w:eastAsia="方正仿宋_GBK" w:cs="Times New Roman"/>
          <w:spacing w:val="-4"/>
          <w:sz w:val="32"/>
          <w:szCs w:val="32"/>
        </w:rPr>
        <w:t>6</w:t>
      </w:r>
      <w:r>
        <w:rPr>
          <w:rFonts w:ascii="方正仿宋_GBK" w:eastAsia="方正仿宋_GBK" w:cs="方正仿宋_GBK"/>
          <w:spacing w:val="-4"/>
          <w:sz w:val="32"/>
          <w:szCs w:val="32"/>
        </w:rPr>
        <w:t>个月，并充分考虑项目质保期限内的设备使用需求；二是对于设备在</w:t>
      </w:r>
      <w:r>
        <w:rPr>
          <w:rFonts w:ascii="方正仿宋_GBK" w:eastAsia="方正仿宋_GBK" w:cs="方正仿宋_GBK" w:hint="eastAsia"/>
          <w:spacing w:val="-4"/>
          <w:sz w:val="32"/>
          <w:szCs w:val="32"/>
        </w:rPr>
        <w:t>多个</w:t>
      </w:r>
      <w:r>
        <w:rPr>
          <w:rFonts w:ascii="方正仿宋_GBK" w:eastAsia="方正仿宋_GBK" w:cs="方正仿宋_GBK"/>
          <w:spacing w:val="-4"/>
          <w:sz w:val="32"/>
          <w:szCs w:val="32"/>
        </w:rPr>
        <w:t>项目间转场施工、项目工期调整</w:t>
      </w:r>
      <w:r>
        <w:rPr>
          <w:rFonts w:ascii="方正仿宋_GBK" w:eastAsia="方正仿宋_GBK" w:cs="方正仿宋_GBK" w:hint="eastAsia"/>
          <w:spacing w:val="-4"/>
          <w:sz w:val="32"/>
          <w:szCs w:val="32"/>
        </w:rPr>
        <w:t>等可能出现的</w:t>
      </w:r>
      <w:r>
        <w:rPr>
          <w:rFonts w:ascii="方正仿宋_GBK" w:eastAsia="方正仿宋_GBK" w:cs="方正仿宋_GBK"/>
          <w:spacing w:val="-4"/>
          <w:sz w:val="32"/>
          <w:szCs w:val="32"/>
        </w:rPr>
        <w:t>变化明确了提交材料的要求；三是</w:t>
      </w:r>
      <w:r>
        <w:rPr>
          <w:rFonts w:ascii="方正仿宋_GBK" w:eastAsia="方正仿宋_GBK" w:cs="方正仿宋_GBK" w:hint="eastAsia"/>
          <w:spacing w:val="-4"/>
          <w:sz w:val="32"/>
          <w:szCs w:val="32"/>
        </w:rPr>
        <w:t>与《对外承包工程项目备案和立项管理办法》</w:t>
      </w:r>
      <w:r>
        <w:rPr>
          <w:rFonts w:ascii="方正仿宋_GBK" w:eastAsia="方正仿宋_GBK" w:cs="方正仿宋_GBK"/>
          <w:spacing w:val="-4"/>
          <w:sz w:val="32"/>
          <w:szCs w:val="32"/>
        </w:rPr>
        <w:t>（</w:t>
      </w:r>
      <w:r>
        <w:rPr>
          <w:rFonts w:eastAsia="方正仿宋_GBK" w:cs="Times New Roman"/>
          <w:spacing w:val="-4"/>
          <w:sz w:val="32"/>
          <w:szCs w:val="32"/>
        </w:rPr>
        <w:t>商务部令2024年第2号）</w:t>
      </w:r>
      <w:r>
        <w:rPr>
          <w:rFonts w:ascii="方正仿宋_GBK" w:eastAsia="方正仿宋_GBK" w:cs="方正仿宋_GBK"/>
          <w:spacing w:val="-4"/>
          <w:sz w:val="32"/>
          <w:szCs w:val="32"/>
        </w:rPr>
        <w:t>有关规定</w:t>
      </w:r>
      <w:r>
        <w:rPr>
          <w:rFonts w:ascii="方正仿宋_GBK" w:eastAsia="方正仿宋_GBK" w:cs="方正仿宋_GBK" w:hint="eastAsia"/>
          <w:spacing w:val="-4"/>
          <w:sz w:val="32"/>
          <w:szCs w:val="32"/>
        </w:rPr>
        <w:t>作了衔接</w:t>
      </w:r>
      <w:r>
        <w:rPr>
          <w:rFonts w:ascii="方正仿宋_GBK" w:eastAsia="方正仿宋_GBK" w:cs="方正仿宋_GBK"/>
          <w:spacing w:val="-4"/>
          <w:sz w:val="32"/>
          <w:szCs w:val="32"/>
        </w:rPr>
        <w:t>，明确关于项目开工、合同延期等项目施工</w:t>
      </w:r>
      <w:r>
        <w:rPr>
          <w:rFonts w:ascii="方正仿宋_GBK" w:eastAsia="方正仿宋_GBK" w:cs="方正仿宋_GBK" w:hint="eastAsia"/>
          <w:spacing w:val="-4"/>
          <w:sz w:val="32"/>
          <w:szCs w:val="32"/>
        </w:rPr>
        <w:t>信息</w:t>
      </w:r>
      <w:r>
        <w:rPr>
          <w:rFonts w:ascii="方正仿宋_GBK" w:eastAsia="方正仿宋_GBK" w:cs="方正仿宋_GBK"/>
          <w:spacing w:val="-4"/>
          <w:sz w:val="32"/>
          <w:szCs w:val="32"/>
        </w:rPr>
        <w:t>的证明材料</w:t>
      </w:r>
      <w:r>
        <w:rPr>
          <w:rFonts w:ascii="方正仿宋_GBK" w:eastAsia="方正仿宋_GBK" w:cs="方正仿宋_GBK" w:hint="eastAsia"/>
          <w:spacing w:val="-4"/>
          <w:sz w:val="32"/>
          <w:szCs w:val="32"/>
        </w:rPr>
        <w:t>，</w:t>
      </w:r>
      <w:r>
        <w:rPr>
          <w:rFonts w:ascii="方正仿宋_GBK" w:eastAsia="方正仿宋_GBK" w:cs="方正仿宋_GBK"/>
          <w:spacing w:val="-4"/>
          <w:sz w:val="32"/>
          <w:szCs w:val="32"/>
        </w:rPr>
        <w:t>加强部门间执法合作</w:t>
      </w:r>
      <w:r>
        <w:rPr>
          <w:rFonts w:ascii="方正仿宋_GBK" w:eastAsia="方正仿宋_GBK" w:cs="方正仿宋_GBK" w:hint="eastAsia"/>
          <w:spacing w:val="-4"/>
          <w:sz w:val="32"/>
          <w:szCs w:val="32"/>
        </w:rPr>
        <w:t>。</w:t>
      </w:r>
    </w:p>
    <w:p>
      <w:pPr>
        <w:adjustRightInd w:val="0"/>
        <w:snapToGrid w:val="0"/>
        <w:spacing w:line="560" w:lineRule="exact"/>
        <w:ind w:firstLineChars="200" w:firstLine="640"/>
        <w:rPr>
          <w:rFonts w:ascii="方正仿宋_GBK" w:eastAsia="方正仿宋_GBK" w:cs="方正仿宋_GBK" w:hint="eastAsia"/>
          <w:spacing w:val="-4"/>
          <w:sz w:val="32"/>
          <w:szCs w:val="32"/>
        </w:rPr>
      </w:pPr>
      <w:r>
        <w:rPr>
          <w:rFonts w:ascii="Times New Roman" w:eastAsia="方正仿宋_GBK" w:cs="方正仿宋_GBK" w:hAnsi="Times New Roman"/>
          <w:sz w:val="32"/>
          <w:szCs w:val="32"/>
        </w:rPr>
        <w:t>特此说明。</w:t>
      </w:r>
    </w:p>
    <w:sectPr>
      <w:pgSz w:w="11907" w:h="16840"/>
      <w:pgMar w:top="1871" w:right="1701" w:bottom="1871" w:left="1701"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2000000000000000000"/>
    <w:charset w:val="86"/>
    <w:family w:val="script"/>
    <w:pitch w:val="variable"/>
    <w:sig w:usb0="A00002BF" w:usb1="38CF7CFA" w:usb2="00082016" w:usb3="00000000" w:csb0="00040001" w:csb1="00000000"/>
  </w:font>
  <w:font w:name="方正仿宋_GBK">
    <w:panose1 w:val="02000000000000000000"/>
    <w:charset w:val="86"/>
    <w:family w:val="script"/>
    <w:pitch w:val="variable"/>
    <w:sig w:usb0="A00002BF" w:usb1="38CF7CFA" w:usb2="00082016" w:usb3="00000000" w:csb0="00040001" w:csb1="00000000"/>
  </w:font>
  <w:font w:name="Times New Roman">
    <w:panose1 w:val="02020603050405020304"/>
    <w:charset w:val="00"/>
    <w:family w:val="auto"/>
    <w:pitch w:val="variable"/>
    <w:sig w:usb0="00000A87" w:usb1="00000000" w:usb2="00000000" w:usb3="00000000" w:csb0="400001BF" w:csb1="DFF70000"/>
  </w:font>
  <w:font w:name="方正黑体_GBK">
    <w:panose1 w:val="02000000000000000000"/>
    <w:charset w:val="86"/>
    <w:family w:val="script"/>
    <w:pitch w:val="variable"/>
    <w:sig w:usb0="A00002BF" w:usb1="38CF7CFA" w:usb2="00082016" w:usb3="00000000" w:csb0="00040001" w:csb1="00000000"/>
  </w:font>
  <w:font w:name="宋体">
    <w:altName w:val="华文宋体"/>
    <w:panose1 w:val="02010600030101010101"/>
    <w:charset w:val="86"/>
    <w:family w:val="auto"/>
    <w:pitch w:val="variable"/>
    <w:sig w:usb0="00000003" w:usb1="080E0000" w:usb2="00000000" w:usb3="00000000" w:csb0="00040001" w:csb1="00000000"/>
  </w:font>
  <w:font w:name="Lucida Sans">
    <w:altName w:val="DejaVu Sans"/>
    <w:panose1 w:val="020B0602030504020204"/>
    <w:charset w:val="00"/>
    <w:family w:val="auto"/>
    <w:pitch w:val="variable"/>
    <w:sig w:usb0="00000003" w:usb1="00000000" w:usb2="00000000" w:usb3="00000000" w:csb0="20000001" w:csb1="00000000"/>
  </w:font>
  <w:font w:name="黑体">
    <w:altName w:val="方正黑体_GBK"/>
    <w:panose1 w:val="02010609060101010101"/>
    <w:charset w:val="86"/>
    <w:family w:val="auto"/>
    <w:pitch w:val="variable"/>
    <w:sig w:usb0="800002BF" w:usb1="38CF7CFA" w:usb2="00000016" w:usb3="00000000" w:csb0="00040001" w:csb1="00000000"/>
  </w:font>
  <w:font w:name="Calibri">
    <w:altName w:val="DejaVu Sans"/>
    <w:panose1 w:val="020F0502020204030204"/>
    <w:charset w:val="00"/>
    <w:family w:val="swiss"/>
    <w:pitch w:val="variable"/>
    <w:sig w:usb0="00000000" w:usb1="00000000" w:usb2="00000001" w:usb3="00000000" w:csb0="0000019F" w:csb1="00000000"/>
  </w:font>
  <w:font w:name="Arial">
    <w:altName w:val="DejaVu Sans"/>
    <w:panose1 w:val="020B0604020202020204"/>
    <w:charset w:val="00"/>
    <w:family w:val="auto"/>
    <w:pitch w:val="variable"/>
    <w:sig w:usb0="00007A87" w:usb1="80000000" w:usb2="00000008" w:usb3="00000000" w:csb0="400001FF" w:csb1="FFFF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100"/>
  <w:doNotDisplayPageBoundaries/>
  <w:displayBackgroundShape/>
  <w:bordersDoNotSurroundHeader/>
  <w:bordersDoNotSurroundFooter/>
  <w:trackRevisions/>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compatSetting w:name="compatibilityMode" w:uri="http://schemas.microsoft.com/office/word" w:val="14"/>
  </w:compat>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pacing w:line="240" w:lineRule="auto"/>
      <w:jc w:val="both"/>
    </w:pPr>
    <w:rPr>
      <w:rFonts w:ascii="Times New Roman" w:eastAsia="宋体" w:cs="Lucida Sans" w:hAnsi="Times New Roman"/>
      <w:kern w:val="2"/>
      <w:sz w:val="21"/>
      <w:szCs w:val="21"/>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index 5"/>
    <w:basedOn w:val="0"/>
    <w:autoRedefine/>
    <w:next w:val="0"/>
    <w:pPr>
      <w:ind w:left="1680"/>
    </w:pPr>
  </w:style>
  <w:style w:type="paragraph" w:styleId="16">
    <w:name w:val="index 9"/>
    <w:basedOn w:val="0"/>
    <w:autoRedefine/>
    <w:next w:val="0"/>
    <w:pPr>
      <w:ind w:left="3360"/>
    </w:pPr>
  </w:style>
  <w:style w:type="paragraph" w:customStyle="1" w:styleId="17">
    <w:name w:val="样式 10 磅"/>
    <w:pPr>
      <w:widowControl w:val="0"/>
      <w:jc w:val="both"/>
    </w:pPr>
    <w:rPr>
      <w:rFonts w:ascii="Calibri" w:eastAsia="宋体" w:cs="Times New Roman" w:hAnsi="Calibri"/>
      <w:kern w:val="2"/>
      <w:sz w:val="21"/>
      <w:szCs w:val="24"/>
      <w:lang w:val="en-US" w:eastAsia="zh-CN" w:bidi="ar-SA"/>
    </w:rPr>
  </w:style>
  <w:style w:type="paragraph" w:customStyle="1" w:styleId="18">
    <w:name w:val="样式 1 10 磅"/>
    <w:pPr>
      <w:widowControl w:val="0"/>
      <w:jc w:val="both"/>
    </w:pPr>
    <w:rPr>
      <w:rFonts w:ascii="Calibri" w:eastAsia="宋体" w:cs="Times New Roman" w:hAnsi="Calibri"/>
      <w:kern w:val="2"/>
      <w:sz w:val="21"/>
      <w:szCs w:val="24"/>
      <w:lang w:val="en-US" w:eastAsia="zh-CN" w:bidi="ar-SA"/>
    </w:rPr>
  </w:style>
  <w:style w:type="paragraph" w:customStyle="1" w:styleId="19">
    <w:name w:val="样式 2 10 磅"/>
    <w:pPr>
      <w:widowControl w:val="0"/>
      <w:jc w:val="both"/>
    </w:pPr>
    <w:rPr>
      <w:rFonts w:ascii="Calibri" w:eastAsia="宋体" w:cs="Arial" w:hAnsi="Calibri"/>
      <w:kern w:val="2"/>
      <w:sz w:val="21"/>
      <w:szCs w:val="22"/>
      <w:lang w:val="en-US" w:eastAsia="zh-CN" w:bidi="ar-SA"/>
    </w:rPr>
  </w:style>
  <w:style w:type="paragraph" w:customStyle="1" w:styleId="20">
    <w:name w:val="样式 3 10 磅"/>
    <w:pPr>
      <w:widowControl w:val="0"/>
      <w:jc w:val="both"/>
    </w:pPr>
    <w:rPr>
      <w:rFonts w:ascii="Calibri" w:eastAsia="宋体" w:cs="Times New Roman" w:hAnsi="Calibri"/>
      <w:kern w:val="2"/>
      <w:sz w:val="21"/>
      <w:szCs w:val="24"/>
      <w:lang w:val="en-US" w:eastAsia="zh-CN" w:bidi="ar-SA"/>
    </w:rPr>
  </w:style>
  <w:style w:type="paragraph" w:customStyle="1" w:styleId="21">
    <w:name w:val="样式 4 10 磅"/>
    <w:pPr>
      <w:widowControl w:val="0"/>
      <w:jc w:val="both"/>
    </w:pPr>
    <w:rPr>
      <w:rFonts w:ascii="Calibri" w:eastAsia="宋体" w:cs="Times New Roman" w:hAnsi="Calibri"/>
      <w:kern w:val="2"/>
      <w:sz w:val="21"/>
      <w:szCs w:val="24"/>
      <w:lang w:val="en-US" w:eastAsia="zh-CN" w:bidi="ar-SA"/>
    </w:rPr>
  </w:style>
  <w:style w:type="paragraph" w:customStyle="1" w:styleId="22">
    <w:name w:val="样式 5 10 磅"/>
    <w:pPr>
      <w:widowControl w:val="0"/>
      <w:jc w:val="both"/>
    </w:pPr>
    <w:rPr>
      <w:rFonts w:ascii="Calibri" w:eastAsia="宋体" w:cs="Times New Roman" w:hAnsi="Calibri"/>
      <w:kern w:val="2"/>
      <w:sz w:val="21"/>
      <w:szCs w:val="24"/>
      <w:lang w:val="en-US" w:eastAsia="zh-CN" w:bidi="ar-SA"/>
    </w:rPr>
  </w:style>
  <w:style w:type="paragraph" w:customStyle="1" w:styleId="23">
    <w:name w:val="样式 6 10 磅"/>
    <w:pPr>
      <w:widowControl w:val="0"/>
      <w:jc w:val="both"/>
    </w:pPr>
    <w:rPr>
      <w:rFonts w:ascii="Calibri" w:eastAsia="宋体" w:cs="Times New Roman" w:hAnsi="Calibri"/>
      <w:kern w:val="2"/>
      <w:sz w:val="21"/>
      <w:szCs w:val="22"/>
      <w:lang w:val="en-US" w:eastAsia="zh-CN" w:bidi="ar-SA"/>
    </w:rPr>
  </w:style>
  <w:style w:type="paragraph" w:customStyle="1" w:styleId="24">
    <w:name w:val="样式 7 10 磅"/>
    <w:pPr>
      <w:widowControl w:val="0"/>
      <w:jc w:val="both"/>
    </w:pPr>
    <w:rPr>
      <w:rFonts w:ascii="Calibri" w:eastAsia="宋体" w:cs="Times New Roman" w:hAnsi="Calibri"/>
      <w:kern w:val="2"/>
      <w:sz w:val="21"/>
      <w:szCs w:val="24"/>
      <w:lang w:val="en-US" w:eastAsia="zh-CN" w:bidi="ar-SA"/>
    </w:rPr>
  </w:style>
  <w:style w:type="paragraph" w:customStyle="1" w:styleId="25">
    <w:name w:val="样式 8 10 磅"/>
    <w:pPr>
      <w:widowControl w:val="0"/>
      <w:jc w:val="both"/>
    </w:pPr>
    <w:rPr>
      <w:rFonts w:ascii="Calibri" w:eastAsia="宋体" w:cs="Times New Roman" w:hAnsi="Calibri"/>
      <w:kern w:val="2"/>
      <w:sz w:val="21"/>
      <w:szCs w:val="24"/>
      <w:lang w:val="en-US" w:eastAsia="zh-CN" w:bidi="ar-SA"/>
    </w:rPr>
  </w:style>
  <w:style w:type="paragraph" w:customStyle="1" w:styleId="26">
    <w:name w:val="样式 9 10 磅"/>
    <w:pPr>
      <w:widowControl w:val="0"/>
      <w:jc w:val="both"/>
    </w:pPr>
    <w:rPr>
      <w:rFonts w:ascii="Calibri" w:eastAsia="宋体" w:cs="Times New Roman" w:hAnsi="Calibri"/>
      <w:kern w:val="2"/>
      <w:sz w:val="21"/>
      <w:szCs w:val="22"/>
      <w:lang w:val="en-US" w:eastAsia="zh-CN" w:bidi="ar-SA"/>
    </w:rPr>
  </w:style>
  <w:style w:type="paragraph" w:customStyle="1" w:styleId="27">
    <w:name w:val="样式 10 10 磅"/>
    <w:pPr>
      <w:widowControl w:val="0"/>
      <w:jc w:val="both"/>
    </w:pPr>
    <w:rPr>
      <w:rFonts w:ascii="Calibri" w:eastAsia="宋体" w:cs="Times New Roman" w:hAnsi="Calibri"/>
      <w:kern w:val="2"/>
      <w:sz w:val="21"/>
      <w:szCs w:val="24"/>
      <w:lang w:val="en-US" w:eastAsia="zh-CN" w:bidi="ar-SA"/>
    </w:rPr>
  </w:style>
  <w:style w:type="paragraph" w:customStyle="1" w:styleId="28">
    <w:name w:val="样式 11 10 磅"/>
    <w:pPr>
      <w:widowControl w:val="0"/>
      <w:jc w:val="both"/>
    </w:pPr>
    <w:rPr>
      <w:rFonts w:ascii="Calibri" w:eastAsia="宋体" w:cs="Times New Roman" w:hAnsi="Calibri"/>
      <w:kern w:val="2"/>
      <w:sz w:val="21"/>
      <w:szCs w:val="24"/>
      <w:lang w:val="en-US" w:eastAsia="zh-CN" w:bidi="ar-SA"/>
    </w:rPr>
  </w:style>
  <w:style w:type="paragraph" w:customStyle="1" w:styleId="29">
    <w:name w:val="样式 12 10 磅"/>
    <w:pPr>
      <w:widowControl w:val="0"/>
      <w:jc w:val="both"/>
    </w:pPr>
    <w:rPr>
      <w:rFonts w:ascii="Calibri" w:eastAsia="宋体" w:cs="Times New Roman" w:hAnsi="Calibri"/>
      <w:kern w:val="2"/>
      <w:sz w:val="21"/>
      <w:szCs w:val="24"/>
      <w:lang w:val="en-US" w:eastAsia="zh-CN" w:bidi="ar-SA"/>
    </w:rPr>
  </w:style>
  <w:style w:type="paragraph" w:customStyle="1" w:styleId="30">
    <w:name w:val="样式 13 10 磅"/>
    <w:pPr>
      <w:widowControl w:val="0"/>
      <w:jc w:val="both"/>
    </w:pPr>
    <w:rPr>
      <w:rFonts w:ascii="Calibri" w:eastAsia="宋体" w:cs="Times New Roman" w:hAnsi="Calibri"/>
      <w:kern w:val="2"/>
      <w:sz w:val="21"/>
      <w:szCs w:val="24"/>
      <w:lang w:val="en-US" w:eastAsia="zh-CN" w:bidi="ar-SA"/>
    </w:rPr>
  </w:style>
  <w:style w:type="paragraph" w:customStyle="1" w:styleId="31">
    <w:name w:val="样式 14 10 磅"/>
    <w:pPr>
      <w:widowControl w:val="0"/>
      <w:jc w:val="both"/>
    </w:pPr>
    <w:rPr>
      <w:rFonts w:ascii="Calibri" w:eastAsia="宋体" w:cs="Times New Roman" w:hAnsi="Calibri"/>
      <w:kern w:val="2"/>
      <w:sz w:val="21"/>
      <w:szCs w:val="22"/>
      <w:lang w:val="en-US" w:eastAsia="zh-CN" w:bidi="ar-SA"/>
    </w:rPr>
  </w:style>
  <w:style w:type="paragraph" w:customStyle="1" w:styleId="32">
    <w:name w:val="样式 15 10 磅"/>
    <w:pPr>
      <w:widowControl w:val="0"/>
      <w:spacing w:line="240" w:lineRule="auto"/>
      <w:jc w:val="both"/>
    </w:pPr>
    <w:rPr>
      <w:rFonts w:ascii="Times New Roman" w:eastAsia="宋体" w:cs="Lucida Sans" w:hAnsi="Times New Roman"/>
      <w:kern w:val="2"/>
      <w:sz w:val="21"/>
      <w:szCs w:val="21"/>
      <w:lang w:val="en-US" w:eastAsia="zh-CN" w:bidi="ar-SA"/>
    </w:rPr>
  </w:style>
  <w:style w:type="paragraph" w:customStyle="1" w:styleId="33">
    <w:name w:val="样式 16 10 磅"/>
    <w:pPr>
      <w:widowControl w:val="0"/>
      <w:spacing w:line="240" w:lineRule="auto"/>
      <w:jc w:val="both"/>
    </w:pPr>
    <w:rPr>
      <w:rFonts w:ascii="Times New Roman" w:eastAsia="宋体" w:cs="Lucida Sans" w:hAnsi="Times New Roman"/>
      <w:kern w:val="2"/>
      <w:sz w:val="21"/>
      <w:szCs w:val="21"/>
      <w:lang w:val="en-US" w:eastAsia="zh-CN" w:bidi="ar-SA"/>
    </w:rPr>
  </w:style>
  <w:style w:type="paragraph" w:customStyle="1" w:styleId="34">
    <w:name w:val="样式 17 10 磅"/>
    <w:pPr>
      <w:widowControl w:val="0"/>
      <w:jc w:val="both"/>
    </w:pPr>
    <w:rPr>
      <w:rFonts w:ascii="Calibri" w:eastAsia="宋体" w:cs="Times New Roman" w:hAnsi="Calibri"/>
      <w:kern w:val="2"/>
      <w:sz w:val="21"/>
      <w:szCs w:val="24"/>
      <w:lang w:val="en-US" w:eastAsia="zh-CN" w:bidi="ar-SA"/>
    </w:rPr>
  </w:style>
  <w:style w:type="paragraph" w:customStyle="1" w:styleId="35">
    <w:name w:val="样式 18 10 磅"/>
    <w:pPr>
      <w:widowControl w:val="0"/>
      <w:spacing w:line="240" w:lineRule="auto"/>
      <w:jc w:val="both"/>
    </w:pPr>
    <w:rPr>
      <w:rFonts w:ascii="Times New Roman" w:eastAsia="宋体" w:cs="Lucida Sans" w:hAnsi="Times New Roman"/>
      <w:kern w:val="2"/>
      <w:sz w:val="21"/>
      <w:szCs w:val="21"/>
      <w:lang w:val="en-US" w:eastAsia="zh-CN" w:bidi="ar-SA"/>
    </w:rPr>
  </w:style>
  <w:style w:type="paragraph" w:customStyle="1" w:styleId="36">
    <w:name w:val="样式 19 10 磅"/>
    <w:pPr>
      <w:widowControl w:val="0"/>
      <w:jc w:val="both"/>
    </w:pPr>
    <w:rPr>
      <w:rFonts w:ascii="Calibri" w:eastAsia="宋体" w:cs="Times New Roman" w:hAnsi="Calibri"/>
      <w:kern w:val="2"/>
      <w:sz w:val="21"/>
      <w:szCs w:val="24"/>
      <w:lang w:val="en-US" w:eastAsia="zh-CN" w:bidi="ar-SA"/>
    </w:rPr>
  </w:style>
  <w:style w:type="paragraph" w:customStyle="1" w:styleId="37">
    <w:name w:val="样式 20 10 磅"/>
    <w:pPr>
      <w:widowControl w:val="0"/>
      <w:jc w:val="both"/>
    </w:pPr>
    <w:rPr>
      <w:rFonts w:ascii="Calibri" w:eastAsia="宋体" w:cs="Times New Roman" w:hAnsi="Calibri"/>
      <w:kern w:val="2"/>
      <w:sz w:val="21"/>
      <w:szCs w:val="24"/>
      <w:lang w:val="en-US" w:eastAsia="zh-CN" w:bidi="ar-SA"/>
    </w:rPr>
  </w:style>
  <w:style w:type="paragraph" w:customStyle="1" w:styleId="38">
    <w:name w:val="样式 21 10 磅"/>
    <w:pPr>
      <w:widowControl w:val="0"/>
      <w:jc w:val="both"/>
    </w:pPr>
    <w:rPr>
      <w:rFonts w:ascii="Calibri" w:eastAsia="宋体" w:cs="Times New Roman" w:hAnsi="Calibri"/>
      <w:kern w:val="2"/>
      <w:sz w:val="21"/>
      <w:szCs w:val="24"/>
      <w:lang w:val="en-US" w:eastAsia="zh-CN" w:bidi="ar-SA"/>
    </w:rPr>
  </w:style>
  <w:style w:type="paragraph" w:customStyle="1" w:styleId="39">
    <w:name w:val="样式 22 10 磅"/>
    <w:pPr>
      <w:widowControl w:val="0"/>
      <w:jc w:val="both"/>
    </w:pPr>
    <w:rPr>
      <w:rFonts w:ascii="Calibri" w:eastAsia="宋体" w:cs="Times New Roman" w:hAnsi="Calibri"/>
      <w:kern w:val="2"/>
      <w:sz w:val="21"/>
      <w:szCs w:val="24"/>
      <w:lang w:val="en-US" w:eastAsia="zh-CN" w:bidi="ar-SA"/>
    </w:rPr>
  </w:style>
  <w:style w:type="paragraph" w:customStyle="1" w:styleId="40">
    <w:name w:val="样式 23 10 磅"/>
    <w:pPr>
      <w:widowControl w:val="0"/>
      <w:jc w:val="both"/>
    </w:pPr>
    <w:rPr>
      <w:rFonts w:ascii="Calibri" w:eastAsia="宋体" w:cs="Times New Roman" w:hAnsi="Calibri"/>
      <w:kern w:val="2"/>
      <w:sz w:val="21"/>
      <w:szCs w:val="24"/>
      <w:lang w:val="en-US" w:eastAsia="zh-CN" w:bidi="ar-SA"/>
    </w:rPr>
  </w:style>
  <w:style w:type="paragraph" w:customStyle="1" w:styleId="41">
    <w:name w:val="样式 24 10 磅"/>
    <w:pPr>
      <w:widowControl w:val="0"/>
      <w:jc w:val="both"/>
    </w:pPr>
    <w:rPr>
      <w:rFonts w:ascii="Calibri" w:eastAsia="宋体" w:cs="Times New Roman" w:hAnsi="Calibri"/>
      <w:kern w:val="2"/>
      <w:sz w:val="21"/>
      <w:szCs w:val="24"/>
      <w:lang w:val="en-US" w:eastAsia="zh-CN" w:bidi="ar-SA"/>
    </w:rPr>
  </w:style>
  <w:style w:type="paragraph" w:customStyle="1" w:styleId="42">
    <w:name w:val="样式 25 10 磅"/>
    <w:pPr>
      <w:widowControl w:val="0"/>
      <w:jc w:val="both"/>
    </w:pPr>
    <w:rPr>
      <w:rFonts w:ascii="Calibri" w:eastAsia="宋体" w:cs="Times New Roman" w:hAnsi="Calibri"/>
      <w:kern w:val="2"/>
      <w:sz w:val="21"/>
      <w:szCs w:val="24"/>
      <w:lang w:val="en-US" w:eastAsia="zh-CN" w:bidi="ar-SA"/>
    </w:rPr>
  </w:style>
  <w:style w:type="paragraph" w:customStyle="1" w:styleId="43">
    <w:name w:val="样式 26 10 磅"/>
    <w:pPr>
      <w:widowControl w:val="0"/>
      <w:jc w:val="both"/>
    </w:pPr>
    <w:rPr>
      <w:rFonts w:ascii="Calibri" w:eastAsia="宋体" w:cs="Times New Roman" w:hAnsi="Calibri"/>
      <w:kern w:val="2"/>
      <w:sz w:val="21"/>
      <w:szCs w:val="24"/>
      <w:lang w:val="en-US" w:eastAsia="zh-CN" w:bidi="ar-SA"/>
    </w:rPr>
  </w:style>
  <w:style w:type="paragraph" w:customStyle="1" w:styleId="44">
    <w:name w:val="样式 27 10 磅"/>
    <w:pPr>
      <w:widowControl w:val="0"/>
      <w:jc w:val="both"/>
    </w:pPr>
    <w:rPr>
      <w:rFonts w:ascii="Calibri" w:eastAsia="宋体" w:cs="Times New Roman" w:hAnsi="Calibri"/>
      <w:kern w:val="2"/>
      <w:sz w:val="21"/>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257</TotalTime>
  <Application>Yozo_Office</Application>
  <Pages>3</Pages>
  <Words>1204</Words>
  <Characters>1225</Characters>
  <Lines>52</Lines>
  <Paragraphs>11</Paragraphs>
  <CharactersWithSpaces>1225</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user</dc:creator>
  <cp:lastModifiedBy>刘欣棉（外部)</cp:lastModifiedBy>
  <cp:revision>1</cp:revision>
  <dcterms:created xsi:type="dcterms:W3CDTF">2025-04-29T01:11:42Z</dcterms:created>
  <dcterms:modified xsi:type="dcterms:W3CDTF">2025-05-15T09:09:11Z</dcterms:modified>
</cp:coreProperties>
</file>