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70" w:beforeLines="30" w:after="170" w:afterLines="30" w:line="576"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湖北省省级财政评审专家管理办法</w:t>
      </w:r>
    </w:p>
    <w:p>
      <w:pPr>
        <w:widowControl/>
        <w:spacing w:after="113" w:afterLines="20" w:line="576" w:lineRule="exact"/>
        <w:jc w:val="center"/>
        <w:rPr>
          <w:rFonts w:hint="eastAsia" w:ascii="方正小标宋简体" w:hAnsi="方正小标宋简体" w:eastAsia="方正小标宋简体" w:cs="方正小标宋简体"/>
          <w:color w:val="auto"/>
          <w:sz w:val="36"/>
          <w:szCs w:val="36"/>
        </w:rPr>
      </w:pPr>
      <w:r>
        <w:rPr>
          <w:rFonts w:hint="eastAsia" w:ascii="方正楷体_GBK" w:hAnsi="方正小标宋简体" w:eastAsia="方正楷体_GBK" w:cs="方正小标宋简体"/>
          <w:color w:val="auto"/>
          <w:sz w:val="32"/>
          <w:szCs w:val="32"/>
        </w:rPr>
        <w:t>（</w:t>
      </w:r>
      <w:r>
        <w:rPr>
          <w:rFonts w:hint="eastAsia" w:ascii="方正楷体_GBK" w:hAnsi="方正小标宋简体" w:eastAsia="方正楷体_GBK" w:cs="方正小标宋简体"/>
          <w:color w:val="auto"/>
          <w:sz w:val="32"/>
          <w:szCs w:val="32"/>
          <w:lang w:eastAsia="zh-CN"/>
        </w:rPr>
        <w:t>征求意见</w:t>
      </w:r>
      <w:r>
        <w:rPr>
          <w:rFonts w:hint="eastAsia" w:ascii="方正楷体_GBK" w:hAnsi="方正小标宋简体" w:eastAsia="方正楷体_GBK" w:cs="方正小标宋简体"/>
          <w:color w:val="auto"/>
          <w:sz w:val="32"/>
          <w:szCs w:val="32"/>
        </w:rPr>
        <w:t>稿）</w:t>
      </w:r>
    </w:p>
    <w:p>
      <w:pPr>
        <w:spacing w:before="113" w:beforeLines="20" w:after="113" w:afterLines="20" w:line="576" w:lineRule="exact"/>
        <w:jc w:val="center"/>
        <w:rPr>
          <w:rFonts w:hint="eastAsia" w:ascii="黑体" w:hAnsi="宋体" w:eastAsia="黑体"/>
          <w:color w:val="auto"/>
          <w:sz w:val="32"/>
          <w:szCs w:val="32"/>
        </w:rPr>
      </w:pPr>
      <w:r>
        <w:rPr>
          <w:rFonts w:hint="eastAsia" w:ascii="黑体" w:hAnsi="宋体" w:eastAsia="黑体"/>
          <w:color w:val="auto"/>
          <w:sz w:val="32"/>
          <w:szCs w:val="32"/>
        </w:rPr>
        <w:t>第一章  总则</w:t>
      </w:r>
    </w:p>
    <w:p>
      <w:pPr>
        <w:spacing w:line="576" w:lineRule="exact"/>
        <w:ind w:left="101" w:leftChars="50" w:right="101" w:rightChars="50" w:firstLine="624" w:firstLineChars="200"/>
        <w:rPr>
          <w:rFonts w:ascii="仿宋_GB2312" w:eastAsia="仿宋_GB2312"/>
          <w:color w:val="auto"/>
          <w:sz w:val="32"/>
          <w:szCs w:val="32"/>
        </w:rPr>
      </w:pPr>
      <w:r>
        <w:rPr>
          <w:rFonts w:hint="eastAsia" w:ascii="黑体" w:hAnsi="宋体" w:eastAsia="黑体"/>
          <w:color w:val="auto"/>
          <w:sz w:val="32"/>
          <w:szCs w:val="32"/>
        </w:rPr>
        <w:t xml:space="preserve">第一条  </w:t>
      </w:r>
      <w:r>
        <w:rPr>
          <w:rFonts w:hint="eastAsia" w:ascii="仿宋_GB2312" w:hAnsi="仿宋_GB2312" w:eastAsia="仿宋_GB2312" w:cs="仿宋_GB2312"/>
          <w:color w:val="auto"/>
          <w:sz w:val="32"/>
          <w:szCs w:val="32"/>
        </w:rPr>
        <w:t>为规范省级财政委托评审行为，提高评审专家（以下简称专家）服务质量，防范评审风险，根据《预算评审管理暂行办法》（财预〔2023〕95号）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《湖北省省级项目支出预算评审管理暂行办法》（鄂财预发〔2024〕14号）和《湖北省财政评审质量控制办法》（鄂财投评规〔2021〕2号）等规定，结合工作实际，制定本办法。</w:t>
      </w:r>
    </w:p>
    <w:p>
      <w:pPr>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宋体" w:eastAsia="黑体"/>
          <w:color w:val="auto"/>
          <w:sz w:val="32"/>
          <w:szCs w:val="32"/>
        </w:rPr>
        <w:t xml:space="preserve">第二条  </w:t>
      </w:r>
      <w:r>
        <w:rPr>
          <w:rFonts w:hint="eastAsia" w:ascii="仿宋_GB2312" w:hAnsi="仿宋_GB2312" w:eastAsia="仿宋_GB2312" w:cs="仿宋_GB2312"/>
          <w:color w:val="auto"/>
          <w:sz w:val="32"/>
          <w:szCs w:val="32"/>
        </w:rPr>
        <w:t>本办法所称专家，是指经省级财政部门选聘，纳入湖北省省级财政评审专家库（以下简称专家库）管理，以独立身份协助财政部门开展事前绩效评估、项目支出预算评审、竣工财务决算评审、绩效评价等财政工作的人员。</w:t>
      </w:r>
    </w:p>
    <w:p>
      <w:pPr>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宋体" w:eastAsia="黑体"/>
          <w:color w:val="auto"/>
          <w:sz w:val="32"/>
          <w:szCs w:val="32"/>
        </w:rPr>
        <w:t xml:space="preserve">第三条  </w:t>
      </w:r>
      <w:r>
        <w:rPr>
          <w:rFonts w:hint="eastAsia" w:ascii="仿宋_GB2312" w:hAnsi="仿宋_GB2312" w:eastAsia="仿宋_GB2312" w:cs="仿宋_GB2312"/>
          <w:color w:val="auto"/>
          <w:sz w:val="32"/>
          <w:szCs w:val="32"/>
        </w:rPr>
        <w:t>财政部门对专家的选用、管理、付费与考核等，适用本办法。</w:t>
      </w:r>
    </w:p>
    <w:p>
      <w:pPr>
        <w:pStyle w:val="2"/>
        <w:spacing w:line="576" w:lineRule="exact"/>
        <w:ind w:left="101" w:leftChars="50" w:right="101" w:rightChars="50" w:firstLine="624" w:firstLineChars="200"/>
        <w:rPr>
          <w:color w:val="auto"/>
        </w:rPr>
      </w:pPr>
      <w:r>
        <w:rPr>
          <w:rFonts w:hint="eastAsia" w:ascii="黑体" w:hAnsi="宋体" w:eastAsia="黑体"/>
          <w:color w:val="auto"/>
          <w:sz w:val="32"/>
          <w:szCs w:val="32"/>
        </w:rPr>
        <w:t xml:space="preserve">第四条  </w:t>
      </w:r>
      <w:r>
        <w:rPr>
          <w:rFonts w:hint="eastAsia" w:ascii="仿宋_GB2312" w:hAnsi="仿宋_GB2312" w:eastAsia="仿宋_GB2312" w:cs="仿宋_GB2312"/>
          <w:color w:val="auto"/>
          <w:sz w:val="32"/>
          <w:szCs w:val="32"/>
        </w:rPr>
        <w:t>专家管理遵循“科学严谨、客观公正、廉洁高效”的工作要求，实行统一标准、资源共享、随机抽取、动态调整的管理原则。</w:t>
      </w:r>
    </w:p>
    <w:p>
      <w:pPr>
        <w:spacing w:before="113" w:beforeLines="20" w:after="113" w:afterLines="20" w:line="576" w:lineRule="exact"/>
        <w:jc w:val="center"/>
        <w:rPr>
          <w:rFonts w:hint="eastAsia" w:ascii="黑体" w:hAnsi="宋体" w:eastAsia="黑体"/>
          <w:color w:val="auto"/>
          <w:sz w:val="32"/>
          <w:szCs w:val="32"/>
        </w:rPr>
      </w:pPr>
      <w:r>
        <w:rPr>
          <w:rFonts w:hint="eastAsia" w:ascii="黑体" w:hAnsi="宋体" w:eastAsia="黑体"/>
          <w:color w:val="auto"/>
          <w:sz w:val="32"/>
          <w:szCs w:val="32"/>
        </w:rPr>
        <w:t>第二章  专家选聘与入库</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第五条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省级财政部门通过公开征集、主动邀请、单位推荐和自我推荐相结合的方式，择优选聘专家</w:t>
      </w:r>
      <w:r>
        <w:rPr>
          <w:rFonts w:hint="eastAsia" w:ascii="仿宋_GB2312" w:hAnsi="仿宋_GB2312" w:eastAsia="仿宋_GB2312" w:cs="仿宋_GB2312"/>
          <w:color w:val="auto"/>
          <w:sz w:val="32"/>
          <w:szCs w:val="32"/>
        </w:rPr>
        <w:t>。</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第六条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申请进入专家库的专家，应当具备以下条件：</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（一）具有良好的政治素质、职业道德和敬业精神，廉洁自律，无违法违纪等不良信用记录；</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（二）承诺以独立身份参加评审工作，依法履行专家职责并承担相应法律责任；</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（三）具备相关专业本科及以上学历；</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（四）熟悉相关行业领域政策法规，专业能力突出，具有较强的综合分析判断能力；</w:t>
      </w:r>
    </w:p>
    <w:p>
      <w:pPr>
        <w:widowControl/>
        <w:spacing w:line="576" w:lineRule="exact"/>
        <w:ind w:firstLine="624"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五</w:t>
      </w:r>
      <w:r>
        <w:rPr>
          <w:rFonts w:ascii="仿宋_GB2312" w:hAnsi="仿宋_GB2312" w:eastAsia="仿宋_GB2312" w:cs="仿宋_GB2312"/>
          <w:color w:val="auto"/>
          <w:sz w:val="32"/>
          <w:szCs w:val="32"/>
        </w:rPr>
        <w:t>）具备相应工作年限与资历，具体按所在单位性质划分：</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ascii="仿宋_GB2312" w:hAnsi="仿宋_GB2312" w:eastAsia="仿宋_GB2312" w:cs="仿宋_GB2312"/>
          <w:color w:val="auto"/>
          <w:sz w:val="32"/>
          <w:szCs w:val="32"/>
        </w:rPr>
        <w:t>行政类人员，应从事相关领域工作5年以上，一般应具有副处级（含四级调研员）以上职务（职级）；</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企业、事业类人员，应从事相关领域工作10年以上，具有相关专业职业资格或副高级（含）以上职称；</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ascii="仿宋_GB2312" w:hAnsi="仿宋_GB2312" w:eastAsia="仿宋_GB2312" w:cs="仿宋_GB2312"/>
          <w:color w:val="auto"/>
          <w:sz w:val="32"/>
          <w:szCs w:val="32"/>
        </w:rPr>
        <w:t>教学、科研类人员，应从事相关领域工作10年以上，具有副高级以上专业技术职称；</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（六）身体健康，一般不超过65周岁；</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（七）特殊专业的资深专家，以上条件可适当放宽</w:t>
      </w:r>
      <w:r>
        <w:rPr>
          <w:rFonts w:ascii="仿宋_GB2312" w:hAnsi="仿宋_GB2312" w:eastAsia="仿宋_GB2312" w:cs="仿宋_GB2312"/>
          <w:color w:val="auto"/>
          <w:sz w:val="32"/>
          <w:szCs w:val="32"/>
        </w:rPr>
        <w:t>。</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第七条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符合条件的申请人员，应当提供以下申请材料：</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（一）《湖北省省级财政评审专家申报表》（附件1）；</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ascii="仿宋_GB2312" w:hAnsi="仿宋_GB2312" w:eastAsia="仿宋_GB2312" w:cs="仿宋_GB2312"/>
          <w:color w:val="auto"/>
          <w:sz w:val="32"/>
          <w:szCs w:val="32"/>
        </w:rPr>
        <w:t>有效身份证件复印件；</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ascii="仿宋_GB2312" w:hAnsi="仿宋_GB2312" w:eastAsia="仿宋_GB2312" w:cs="仿宋_GB2312"/>
          <w:color w:val="auto"/>
          <w:sz w:val="32"/>
          <w:szCs w:val="32"/>
        </w:rPr>
        <w:t>学历证书、专业技术职称证书</w:t>
      </w:r>
      <w:r>
        <w:rPr>
          <w:rFonts w:hint="eastAsia" w:ascii="仿宋_GB2312" w:hAnsi="仿宋_GB2312" w:eastAsia="仿宋_GB2312" w:cs="仿宋_GB2312"/>
          <w:color w:val="auto"/>
          <w:sz w:val="32"/>
          <w:szCs w:val="32"/>
        </w:rPr>
        <w:t>、职</w:t>
      </w:r>
      <w:r>
        <w:rPr>
          <w:rFonts w:ascii="仿宋_GB2312" w:hAnsi="仿宋_GB2312" w:eastAsia="仿宋_GB2312" w:cs="仿宋_GB2312"/>
          <w:color w:val="auto"/>
          <w:sz w:val="32"/>
          <w:szCs w:val="32"/>
        </w:rPr>
        <w:t>业资格证书复印件；</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w:t>
      </w:r>
      <w:r>
        <w:rPr>
          <w:rFonts w:ascii="仿宋_GB2312" w:hAnsi="仿宋_GB2312" w:eastAsia="仿宋_GB2312" w:cs="仿宋_GB2312"/>
          <w:color w:val="auto"/>
          <w:sz w:val="32"/>
          <w:szCs w:val="32"/>
        </w:rPr>
        <w:t>相关业绩、奖项</w:t>
      </w:r>
      <w:r>
        <w:rPr>
          <w:rFonts w:hint="eastAsia" w:ascii="仿宋_GB2312" w:hAnsi="仿宋_GB2312" w:eastAsia="仿宋_GB2312" w:cs="仿宋_GB2312"/>
          <w:color w:val="auto"/>
          <w:sz w:val="32"/>
          <w:szCs w:val="32"/>
        </w:rPr>
        <w:t>等</w:t>
      </w:r>
      <w:r>
        <w:rPr>
          <w:rFonts w:ascii="仿宋_GB2312" w:hAnsi="仿宋_GB2312" w:eastAsia="仿宋_GB2312" w:cs="仿宋_GB2312"/>
          <w:color w:val="auto"/>
          <w:sz w:val="32"/>
          <w:szCs w:val="32"/>
        </w:rPr>
        <w:t>证明材料</w:t>
      </w:r>
      <w:r>
        <w:rPr>
          <w:rFonts w:hint="eastAsia" w:ascii="仿宋_GB2312" w:hAnsi="仿宋_GB2312" w:eastAsia="仿宋_GB2312" w:cs="仿宋_GB2312"/>
          <w:color w:val="auto"/>
          <w:sz w:val="32"/>
          <w:szCs w:val="32"/>
        </w:rPr>
        <w:t>；</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w:t>
      </w:r>
      <w:r>
        <w:rPr>
          <w:rFonts w:ascii="仿宋_GB2312" w:hAnsi="仿宋_GB2312" w:eastAsia="仿宋_GB2312" w:cs="仿宋_GB2312"/>
          <w:color w:val="auto"/>
          <w:sz w:val="32"/>
          <w:szCs w:val="32"/>
        </w:rPr>
        <w:t>本人签署的信用承诺书。</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w:t>
      </w:r>
      <w:r>
        <w:rPr>
          <w:rFonts w:hint="eastAsia" w:ascii="黑体" w:hAnsi="Verdana" w:eastAsia="黑体" w:cs="宋体"/>
          <w:color w:val="auto"/>
          <w:kern w:val="0"/>
          <w:sz w:val="32"/>
          <w:szCs w:val="32"/>
        </w:rPr>
        <w:t>八</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省级财政部门建立专家库，并根据专业领域分类动态管理。省级财政部门对申请人提交的申请材料及相关信息进行审核，符合条件的选聘为专家，纳入专家库管理。各级财政部门可按照专家自愿的原则使用专家库，专家劳务费由使用单位按规定承担。</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w:t>
      </w:r>
      <w:r>
        <w:rPr>
          <w:rFonts w:hint="eastAsia" w:ascii="黑体" w:hAnsi="Verdana" w:eastAsia="黑体" w:cs="宋体"/>
          <w:color w:val="auto"/>
          <w:kern w:val="0"/>
          <w:sz w:val="32"/>
          <w:szCs w:val="32"/>
        </w:rPr>
        <w:t>九</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专家每届任期为三年，期满后按程序重新选聘，省级财政部门可以根据工作需要在任期内调整充实专家库。本人申请不再担任或</w:t>
      </w:r>
      <w:r>
        <w:rPr>
          <w:rFonts w:hint="eastAsia" w:ascii="仿宋_GB2312" w:hAnsi="仿宋_GB2312" w:eastAsia="仿宋_GB2312" w:cs="仿宋_GB2312"/>
          <w:color w:val="auto"/>
          <w:sz w:val="32"/>
          <w:szCs w:val="32"/>
          <w:lang w:eastAsia="zh-CN"/>
        </w:rPr>
        <w:t>因</w:t>
      </w:r>
      <w:r>
        <w:rPr>
          <w:rFonts w:hint="eastAsia" w:ascii="仿宋_GB2312" w:hAnsi="仿宋_GB2312" w:eastAsia="仿宋_GB2312" w:cs="仿宋_GB2312"/>
          <w:color w:val="auto"/>
          <w:sz w:val="32"/>
          <w:szCs w:val="32"/>
        </w:rPr>
        <w:t>自身原因连续三次不能承接评审任务的专家，予以解聘，且原则上不再选聘。</w:t>
      </w:r>
    </w:p>
    <w:p>
      <w:pPr>
        <w:widowControl/>
        <w:spacing w:line="560" w:lineRule="exact"/>
        <w:ind w:firstLine="624" w:firstLineChars="200"/>
        <w:rPr>
          <w:rFonts w:hint="eastAsia" w:ascii="仿宋_GB2312" w:eastAsia="仿宋_GB2312"/>
          <w:color w:val="auto"/>
          <w:sz w:val="32"/>
          <w:szCs w:val="32"/>
        </w:rPr>
      </w:pPr>
      <w:r>
        <w:rPr>
          <w:rFonts w:ascii="黑体" w:hAnsi="Verdana" w:eastAsia="黑体" w:cs="宋体"/>
          <w:color w:val="auto"/>
          <w:kern w:val="0"/>
          <w:sz w:val="32"/>
          <w:szCs w:val="32"/>
        </w:rPr>
        <w:t>第</w:t>
      </w:r>
      <w:r>
        <w:rPr>
          <w:rFonts w:hint="eastAsia" w:ascii="黑体" w:hAnsi="Verdana" w:eastAsia="黑体" w:cs="宋体"/>
          <w:color w:val="auto"/>
          <w:kern w:val="0"/>
          <w:sz w:val="32"/>
          <w:szCs w:val="32"/>
        </w:rPr>
        <w:t>十</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ascii="仿宋_GB2312" w:eastAsia="仿宋_GB2312"/>
          <w:color w:val="auto"/>
          <w:sz w:val="32"/>
          <w:szCs w:val="32"/>
        </w:rPr>
        <w:t>专家工作单位、联系方式、专业技术职称</w:t>
      </w:r>
      <w:r>
        <w:rPr>
          <w:rFonts w:hint="eastAsia" w:ascii="仿宋_GB2312" w:eastAsia="仿宋_GB2312"/>
          <w:color w:val="auto"/>
          <w:sz w:val="32"/>
          <w:szCs w:val="32"/>
        </w:rPr>
        <w:t>、需要回避的信息</w:t>
      </w:r>
      <w:r>
        <w:rPr>
          <w:rFonts w:ascii="仿宋_GB2312" w:eastAsia="仿宋_GB2312"/>
          <w:color w:val="auto"/>
          <w:sz w:val="32"/>
          <w:szCs w:val="32"/>
        </w:rPr>
        <w:t>等发生变化的，</w:t>
      </w:r>
      <w:r>
        <w:rPr>
          <w:rFonts w:hint="eastAsia" w:ascii="仿宋_GB2312" w:hAnsi="仿宋_GB2312" w:eastAsia="仿宋_GB2312" w:cs="仿宋_GB2312"/>
          <w:color w:val="auto"/>
          <w:sz w:val="32"/>
          <w:szCs w:val="32"/>
        </w:rPr>
        <w:t>应当</w:t>
      </w:r>
      <w:r>
        <w:rPr>
          <w:rFonts w:ascii="仿宋_GB2312" w:hAnsi="仿宋_GB2312" w:eastAsia="仿宋_GB2312" w:cs="仿宋_GB2312"/>
          <w:color w:val="auto"/>
          <w:sz w:val="32"/>
          <w:szCs w:val="32"/>
        </w:rPr>
        <w:t>在变更后15个工作日内</w:t>
      </w:r>
      <w:r>
        <w:rPr>
          <w:rFonts w:hint="eastAsia" w:ascii="仿宋_GB2312" w:hAnsi="仿宋_GB2312" w:eastAsia="仿宋_GB2312" w:cs="仿宋_GB2312"/>
          <w:color w:val="auto"/>
          <w:sz w:val="32"/>
          <w:szCs w:val="32"/>
        </w:rPr>
        <w:t>向省级财政部门</w:t>
      </w:r>
      <w:r>
        <w:rPr>
          <w:rFonts w:ascii="仿宋_GB2312" w:eastAsia="仿宋_GB2312"/>
          <w:color w:val="auto"/>
          <w:sz w:val="32"/>
          <w:szCs w:val="32"/>
        </w:rPr>
        <w:t>申请变更</w:t>
      </w:r>
      <w:r>
        <w:rPr>
          <w:rFonts w:hint="eastAsia" w:ascii="仿宋_GB2312" w:hAnsi="仿宋_GB2312" w:eastAsia="仿宋_GB2312" w:cs="仿宋_GB2312"/>
          <w:color w:val="auto"/>
          <w:sz w:val="32"/>
          <w:szCs w:val="32"/>
        </w:rPr>
        <w:t>。</w:t>
      </w:r>
    </w:p>
    <w:p>
      <w:pPr>
        <w:spacing w:before="113" w:beforeLines="20" w:after="113" w:afterLines="20" w:line="576" w:lineRule="exact"/>
        <w:jc w:val="center"/>
        <w:rPr>
          <w:rFonts w:hint="eastAsia" w:ascii="黑体" w:hAnsi="宋体" w:eastAsia="黑体"/>
          <w:color w:val="auto"/>
          <w:sz w:val="32"/>
          <w:szCs w:val="32"/>
        </w:rPr>
      </w:pPr>
      <w:r>
        <w:rPr>
          <w:rFonts w:ascii="黑体" w:hAnsi="宋体" w:eastAsia="黑体"/>
          <w:color w:val="auto"/>
          <w:sz w:val="32"/>
          <w:szCs w:val="32"/>
        </w:rPr>
        <w:t>第三章 专家的权利与义务</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第十一条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专家在评审活动中享有以下权利：</w:t>
      </w:r>
    </w:p>
    <w:p>
      <w:pPr>
        <w:keepNext w:val="0"/>
        <w:keepLines w:val="0"/>
        <w:pageBreakBefore w:val="0"/>
        <w:widowControl/>
        <w:kinsoku/>
        <w:wordWrap/>
        <w:overflowPunct/>
        <w:topLinePunct w:val="0"/>
        <w:autoSpaceDE/>
        <w:autoSpaceDN/>
        <w:bidi w:val="0"/>
        <w:adjustRightInd/>
        <w:snapToGrid/>
        <w:spacing w:line="576" w:lineRule="exact"/>
        <w:ind w:firstLine="624" w:firstLineChars="200"/>
        <w:textAlignment w:val="auto"/>
        <w:outlineLvl w:val="9"/>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（一）对受邀参加的</w:t>
      </w:r>
      <w:r>
        <w:rPr>
          <w:rFonts w:hint="eastAsia" w:ascii="仿宋_GB2312" w:hAnsi="仿宋_GB2312" w:eastAsia="仿宋_GB2312" w:cs="仿宋_GB2312"/>
          <w:color w:val="auto"/>
          <w:sz w:val="32"/>
          <w:szCs w:val="32"/>
        </w:rPr>
        <w:t>预算</w:t>
      </w:r>
      <w:r>
        <w:rPr>
          <w:rFonts w:ascii="仿宋_GB2312" w:hAnsi="仿宋_GB2312" w:eastAsia="仿宋_GB2312" w:cs="仿宋_GB2312"/>
          <w:color w:val="auto"/>
          <w:sz w:val="32"/>
          <w:szCs w:val="32"/>
        </w:rPr>
        <w:t>评审、绩效评价等项目，依法独立发表评审意见，对需要表决的事项行使表决权；</w:t>
      </w:r>
    </w:p>
    <w:p>
      <w:pPr>
        <w:keepNext w:val="0"/>
        <w:keepLines w:val="0"/>
        <w:pageBreakBefore w:val="0"/>
        <w:widowControl/>
        <w:kinsoku/>
        <w:wordWrap/>
        <w:overflowPunct/>
        <w:topLinePunct w:val="0"/>
        <w:autoSpaceDE/>
        <w:autoSpaceDN/>
        <w:bidi w:val="0"/>
        <w:adjustRightInd/>
        <w:snapToGrid/>
        <w:spacing w:line="576" w:lineRule="exact"/>
        <w:ind w:firstLine="624" w:firstLineChars="200"/>
        <w:textAlignment w:val="auto"/>
        <w:outlineLvl w:val="9"/>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（二）查阅与评审项目相关的制度文件、基础数据及资料，可就项目情况向被评审单位提出专业质询</w:t>
      </w:r>
      <w:r>
        <w:rPr>
          <w:rFonts w:hint="eastAsia" w:ascii="仿宋_GB2312" w:hAnsi="仿宋_GB2312" w:eastAsia="仿宋_GB2312" w:cs="仿宋_GB2312"/>
          <w:color w:val="auto"/>
          <w:sz w:val="32"/>
          <w:szCs w:val="32"/>
        </w:rPr>
        <w:t>，必要时</w:t>
      </w:r>
      <w:r>
        <w:rPr>
          <w:rFonts w:ascii="仿宋_GB2312" w:hAnsi="仿宋_GB2312" w:eastAsia="仿宋_GB2312" w:cs="仿宋_GB2312"/>
          <w:color w:val="auto"/>
          <w:sz w:val="32"/>
          <w:szCs w:val="32"/>
        </w:rPr>
        <w:t>可赴项目现场实地勘查、取证；</w:t>
      </w:r>
    </w:p>
    <w:p>
      <w:pPr>
        <w:keepNext w:val="0"/>
        <w:keepLines w:val="0"/>
        <w:pageBreakBefore w:val="0"/>
        <w:widowControl/>
        <w:kinsoku/>
        <w:wordWrap/>
        <w:overflowPunct/>
        <w:topLinePunct w:val="0"/>
        <w:autoSpaceDE/>
        <w:autoSpaceDN/>
        <w:bidi w:val="0"/>
        <w:adjustRightInd/>
        <w:snapToGrid/>
        <w:spacing w:line="576" w:lineRule="exact"/>
        <w:ind w:firstLine="624" w:firstLineChars="200"/>
        <w:textAlignment w:val="auto"/>
        <w:outlineLvl w:val="9"/>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w:t>
      </w:r>
      <w:r>
        <w:rPr>
          <w:rFonts w:ascii="仿宋_GB2312" w:hAnsi="仿宋_GB2312" w:eastAsia="仿宋_GB2312" w:cs="仿宋_GB2312"/>
          <w:color w:val="auto"/>
          <w:sz w:val="32"/>
          <w:szCs w:val="32"/>
        </w:rPr>
        <w:t>）按照本办法规定获取评审劳务报酬；</w:t>
      </w:r>
    </w:p>
    <w:p>
      <w:pPr>
        <w:keepNext w:val="0"/>
        <w:keepLines w:val="0"/>
        <w:pageBreakBefore w:val="0"/>
        <w:widowControl/>
        <w:kinsoku/>
        <w:wordWrap/>
        <w:overflowPunct/>
        <w:topLinePunct w:val="0"/>
        <w:autoSpaceDE/>
        <w:autoSpaceDN/>
        <w:bidi w:val="0"/>
        <w:adjustRightInd/>
        <w:snapToGrid/>
        <w:spacing w:line="576" w:lineRule="exact"/>
        <w:ind w:firstLine="624" w:firstLineChars="200"/>
        <w:textAlignment w:val="auto"/>
        <w:outlineLvl w:val="9"/>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四</w:t>
      </w:r>
      <w:r>
        <w:rPr>
          <w:rFonts w:ascii="仿宋_GB2312" w:hAnsi="仿宋_GB2312" w:eastAsia="仿宋_GB2312" w:cs="仿宋_GB2312"/>
          <w:color w:val="auto"/>
          <w:sz w:val="32"/>
          <w:szCs w:val="32"/>
        </w:rPr>
        <w:t>）对自身履职评价结果享有知情权，对不合理的评价结果有权提出申诉。</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第十二条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专家在评审活动中应当履行以下义务：</w:t>
      </w:r>
    </w:p>
    <w:p>
      <w:pPr>
        <w:widowControl/>
        <w:spacing w:line="576" w:lineRule="exact"/>
        <w:ind w:firstLine="624"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（一）严格遵守评审工作纪律，按照客观、公正、审慎的原则，根据规定的评审程序、方法和标准进行独立评审；</w:t>
      </w:r>
    </w:p>
    <w:p>
      <w:pPr>
        <w:widowControl/>
        <w:spacing w:line="576" w:lineRule="exact"/>
        <w:ind w:firstLine="624"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（二）积极配合答复相关单位的询问、质疑，不得泄露评审文件、评审情况以及获悉的国家秘密或商业秘密；</w:t>
      </w:r>
    </w:p>
    <w:p>
      <w:pPr>
        <w:widowControl/>
        <w:spacing w:line="576" w:lineRule="exact"/>
        <w:ind w:firstLine="624"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三</w:t>
      </w:r>
      <w:r>
        <w:rPr>
          <w:rFonts w:ascii="仿宋_GB2312" w:hAnsi="仿宋_GB2312" w:eastAsia="仿宋_GB2312" w:cs="仿宋_GB2312"/>
          <w:color w:val="auto"/>
          <w:sz w:val="32"/>
          <w:szCs w:val="32"/>
        </w:rPr>
        <w:t>）发现被评审单位存在弄虚作假等行为，或评审过程中受到非法干预的，应及时向财政部门举报；</w:t>
      </w:r>
    </w:p>
    <w:p>
      <w:pPr>
        <w:widowControl/>
        <w:spacing w:line="576" w:lineRule="exact"/>
        <w:ind w:firstLine="624"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四</w:t>
      </w:r>
      <w:r>
        <w:rPr>
          <w:rFonts w:ascii="仿宋_GB2312" w:hAnsi="仿宋_GB2312" w:eastAsia="仿宋_GB2312" w:cs="仿宋_GB2312"/>
          <w:color w:val="auto"/>
          <w:sz w:val="32"/>
          <w:szCs w:val="32"/>
        </w:rPr>
        <w:t>）积极参加省级财政部门组织的业务培训及专项学习</w:t>
      </w:r>
      <w:r>
        <w:rPr>
          <w:rFonts w:hint="eastAsia" w:ascii="仿宋_GB2312" w:hAnsi="仿宋_GB2312" w:eastAsia="仿宋_GB2312" w:cs="仿宋_GB2312"/>
          <w:color w:val="auto"/>
          <w:sz w:val="32"/>
          <w:szCs w:val="32"/>
        </w:rPr>
        <w:t>，对预算评审和预算绩效管理等财政工作提供专业咨询意见。</w:t>
      </w:r>
    </w:p>
    <w:p>
      <w:pPr>
        <w:spacing w:before="113" w:beforeLines="20" w:after="113" w:afterLines="20" w:line="576" w:lineRule="exact"/>
        <w:jc w:val="center"/>
        <w:rPr>
          <w:rFonts w:hint="eastAsia" w:ascii="黑体" w:hAnsi="宋体" w:eastAsia="黑体"/>
          <w:color w:val="auto"/>
          <w:sz w:val="32"/>
          <w:szCs w:val="32"/>
        </w:rPr>
      </w:pPr>
      <w:r>
        <w:rPr>
          <w:rFonts w:ascii="黑体" w:hAnsi="宋体" w:eastAsia="黑体"/>
          <w:color w:val="auto"/>
          <w:sz w:val="32"/>
          <w:szCs w:val="32"/>
        </w:rPr>
        <w:t>第四章 专家抽取与使用</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w:t>
      </w:r>
      <w:r>
        <w:rPr>
          <w:rFonts w:hint="eastAsia" w:ascii="黑体" w:hAnsi="Verdana" w:eastAsia="黑体" w:cs="宋体"/>
          <w:color w:val="auto"/>
          <w:kern w:val="0"/>
          <w:sz w:val="32"/>
          <w:szCs w:val="32"/>
        </w:rPr>
        <w:t>十三</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专家选用原则上采取随机抽取方式，从专家库中按专业领域及需求条件抽选</w:t>
      </w:r>
      <w:r>
        <w:rPr>
          <w:rFonts w:hint="eastAsia" w:ascii="仿宋_GB2312" w:hAnsi="仿宋_GB2312" w:eastAsia="仿宋_GB2312" w:cs="仿宋_GB2312"/>
          <w:color w:val="auto"/>
          <w:sz w:val="32"/>
          <w:szCs w:val="32"/>
        </w:rPr>
        <w:t>，财政部门根据工作需要确定抽选条件及数量。</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w:t>
      </w:r>
      <w:r>
        <w:rPr>
          <w:rFonts w:hint="eastAsia" w:ascii="黑体" w:hAnsi="Verdana" w:eastAsia="黑体" w:cs="宋体"/>
          <w:color w:val="auto"/>
          <w:kern w:val="0"/>
          <w:sz w:val="32"/>
          <w:szCs w:val="32"/>
        </w:rPr>
        <w:t>十四</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专家</w:t>
      </w:r>
      <w:r>
        <w:rPr>
          <w:rFonts w:ascii="仿宋_GB2312" w:hAnsi="仿宋_GB2312" w:eastAsia="仿宋_GB2312" w:cs="仿宋_GB2312"/>
          <w:color w:val="auto"/>
          <w:sz w:val="32"/>
          <w:szCs w:val="32"/>
        </w:rPr>
        <w:t>抽取工作应在评审活动开始前进行，原则上在相关工作开始前1个工作日内完成，特殊情况不超过2个工作日</w:t>
      </w:r>
      <w:r>
        <w:rPr>
          <w:rFonts w:hint="eastAsia" w:ascii="仿宋_GB2312" w:hAnsi="仿宋_GB2312" w:eastAsia="仿宋_GB2312" w:cs="仿宋_GB2312"/>
          <w:color w:val="auto"/>
          <w:sz w:val="32"/>
          <w:szCs w:val="32"/>
        </w:rPr>
        <w:t>。</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第十</w:t>
      </w:r>
      <w:r>
        <w:rPr>
          <w:rFonts w:hint="eastAsia" w:ascii="黑体" w:hAnsi="Verdana" w:eastAsia="黑体" w:cs="宋体"/>
          <w:color w:val="auto"/>
          <w:kern w:val="0"/>
          <w:sz w:val="32"/>
          <w:szCs w:val="32"/>
        </w:rPr>
        <w:t>五</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中选专家名单在评审工作开始前应当严格保密，相关工作人员不得泄露专家个人信息及联系方式</w:t>
      </w:r>
      <w:r>
        <w:rPr>
          <w:rFonts w:hint="eastAsia" w:ascii="仿宋_GB2312" w:hAnsi="仿宋_GB2312" w:eastAsia="仿宋_GB2312" w:cs="仿宋_GB2312"/>
          <w:color w:val="auto"/>
          <w:sz w:val="32"/>
          <w:szCs w:val="32"/>
        </w:rPr>
        <w:t>。</w:t>
      </w:r>
    </w:p>
    <w:p>
      <w:pPr>
        <w:spacing w:line="576" w:lineRule="exact"/>
        <w:ind w:left="101" w:leftChars="50" w:right="101" w:rightChars="50" w:firstLine="624" w:firstLineChars="200"/>
        <w:rPr>
          <w:rFonts w:ascii="黑体" w:hAnsi="Verdana" w:eastAsia="黑体" w:cs="宋体"/>
          <w:color w:val="auto"/>
          <w:kern w:val="0"/>
          <w:sz w:val="32"/>
          <w:szCs w:val="32"/>
        </w:rPr>
      </w:pPr>
      <w:r>
        <w:rPr>
          <w:rFonts w:ascii="黑体" w:hAnsi="Verdana" w:eastAsia="黑体" w:cs="宋体"/>
          <w:color w:val="auto"/>
          <w:kern w:val="0"/>
          <w:sz w:val="32"/>
          <w:szCs w:val="32"/>
        </w:rPr>
        <w:t>第十</w:t>
      </w:r>
      <w:r>
        <w:rPr>
          <w:rFonts w:hint="eastAsia" w:ascii="黑体" w:hAnsi="Verdana" w:eastAsia="黑体" w:cs="宋体"/>
          <w:color w:val="auto"/>
          <w:kern w:val="0"/>
          <w:sz w:val="32"/>
          <w:szCs w:val="32"/>
        </w:rPr>
        <w:t>六</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出现以下情形之一的，专家应主动申请回避，被评审单位也有权申请其回避：</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（一）与被评审单位负责人或者有关人员有夫妻、直系血亲、三代以内旁系血亲或者近姻亲关系的；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（二）与被评审单位或者评审事项有直接经济利益关系的；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（三）在近三年内与被评审单位存在劳动关系（含兼职、劳务派遣），或为被评审项目提供过咨询、设计、监理、造价等实质性技术服务的；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（四）担任被评审单位的常年顾问、独立董事（监事）或者类似职务的；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（五）可能影响评审公正性的其他情形。</w:t>
      </w:r>
    </w:p>
    <w:p>
      <w:pPr>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第十七条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未经财政部门同意，专家不得将受托的评审任务分包给其他单位或个人。</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第十八条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财政部门应督促专家合理安排时间，确保评审工作时效性，无特殊原因不得逾期。现场会审项目应当场出具评审意见；远程复核项目应在收到任务后2个工作日内出具评审意见。重大项目、异地项目或批量评审项目等特殊情形，经财政部门批准，评审时限可适当延长，延长</w:t>
      </w:r>
      <w:r>
        <w:rPr>
          <w:rFonts w:hint="eastAsia" w:ascii="仿宋_GB2312" w:hAnsi="仿宋_GB2312" w:eastAsia="仿宋_GB2312" w:cs="仿宋_GB2312"/>
          <w:color w:val="auto"/>
          <w:sz w:val="32"/>
          <w:szCs w:val="32"/>
        </w:rPr>
        <w:t>时间</w:t>
      </w:r>
      <w:r>
        <w:rPr>
          <w:rFonts w:ascii="仿宋_GB2312" w:hAnsi="仿宋_GB2312" w:eastAsia="仿宋_GB2312" w:cs="仿宋_GB2312"/>
          <w:color w:val="auto"/>
          <w:sz w:val="32"/>
          <w:szCs w:val="32"/>
        </w:rPr>
        <w:t>不</w:t>
      </w:r>
      <w:r>
        <w:rPr>
          <w:rFonts w:hint="eastAsia" w:ascii="仿宋_GB2312" w:hAnsi="仿宋_GB2312" w:eastAsia="仿宋_GB2312" w:cs="仿宋_GB2312"/>
          <w:color w:val="auto"/>
          <w:sz w:val="32"/>
          <w:szCs w:val="32"/>
        </w:rPr>
        <w:t>得</w:t>
      </w:r>
      <w:r>
        <w:rPr>
          <w:rFonts w:ascii="仿宋_GB2312" w:hAnsi="仿宋_GB2312" w:eastAsia="仿宋_GB2312" w:cs="仿宋_GB2312"/>
          <w:color w:val="auto"/>
          <w:sz w:val="32"/>
          <w:szCs w:val="32"/>
        </w:rPr>
        <w:t>超过5个工作日。</w:t>
      </w:r>
    </w:p>
    <w:p>
      <w:pPr>
        <w:spacing w:before="113" w:beforeLines="20" w:after="113" w:afterLines="20" w:line="576" w:lineRule="exact"/>
        <w:jc w:val="center"/>
        <w:rPr>
          <w:rFonts w:hint="eastAsia" w:ascii="黑体" w:hAnsi="宋体" w:eastAsia="黑体"/>
          <w:color w:val="auto"/>
          <w:sz w:val="32"/>
          <w:szCs w:val="32"/>
        </w:rPr>
      </w:pPr>
      <w:r>
        <w:rPr>
          <w:rFonts w:hint="eastAsia" w:ascii="黑体" w:hAnsi="宋体" w:eastAsia="黑体"/>
          <w:color w:val="auto"/>
          <w:sz w:val="32"/>
          <w:szCs w:val="32"/>
        </w:rPr>
        <w:t>第五章  专家劳务报酬</w:t>
      </w:r>
    </w:p>
    <w:p>
      <w:pPr>
        <w:widowControl/>
        <w:spacing w:line="576" w:lineRule="exact"/>
        <w:ind w:left="101" w:leftChars="50" w:right="101" w:rightChars="50" w:firstLine="624" w:firstLineChars="200"/>
        <w:rPr>
          <w:rFonts w:ascii="黑体" w:hAnsi="Verdana" w:eastAsia="黑体" w:cs="宋体"/>
          <w:color w:val="auto"/>
          <w:kern w:val="0"/>
          <w:sz w:val="32"/>
          <w:szCs w:val="32"/>
        </w:rPr>
      </w:pPr>
      <w:r>
        <w:rPr>
          <w:rFonts w:hint="eastAsia" w:ascii="黑体" w:hAnsi="Verdana" w:eastAsia="黑体" w:cs="宋体"/>
          <w:color w:val="auto"/>
          <w:kern w:val="0"/>
          <w:sz w:val="32"/>
          <w:szCs w:val="32"/>
        </w:rPr>
        <w:t>第十九条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现场会审的专家劳务费执行湖北省省级党政机关评审费管理的有关规定，评审劳务费（税后）标准：院士、中国社会科学院学部委员、入选国家人才计划专家、省部级干部每半天（不得少于三小时，下同）不超过2000元；正高级技术职称专家、厅局级干部每半天不超过1500元；副高级技术职称专家、县处级干部每半天不超过1000元；其他人员每半天不超过500元。</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次评审时间超过1天不超过3天的（含3天），专家劳务费按不超过上述标准的80%执行；单次评审时间超过3天不超过5天的（含5天），专家劳务费按不超过上述标准的60%执行；单次评审时间超过5天的，专家劳务费按不超过上述标准的50%执行。</w:t>
      </w:r>
    </w:p>
    <w:p>
      <w:pPr>
        <w:widowControl/>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w:t>
      </w:r>
      <w:r>
        <w:rPr>
          <w:rFonts w:hint="eastAsia" w:ascii="黑体" w:hAnsi="Verdana" w:eastAsia="黑体" w:cs="宋体"/>
          <w:color w:val="auto"/>
          <w:kern w:val="0"/>
          <w:sz w:val="32"/>
          <w:szCs w:val="32"/>
        </w:rPr>
        <w:t>二十</w:t>
      </w:r>
      <w:r>
        <w:rPr>
          <w:rFonts w:ascii="黑体" w:hAnsi="Verdana" w:eastAsia="黑体" w:cs="宋体"/>
          <w:color w:val="auto"/>
          <w:kern w:val="0"/>
          <w:sz w:val="32"/>
          <w:szCs w:val="32"/>
        </w:rPr>
        <w:t>条</w:t>
      </w:r>
      <w:bookmarkStart w:id="0" w:name="_Hlk234338246"/>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远程复核</w:t>
      </w:r>
      <w:bookmarkEnd w:id="0"/>
      <w:r>
        <w:rPr>
          <w:rFonts w:ascii="仿宋_GB2312" w:hAnsi="仿宋_GB2312" w:eastAsia="仿宋_GB2312" w:cs="仿宋_GB2312"/>
          <w:color w:val="auto"/>
          <w:sz w:val="32"/>
          <w:szCs w:val="32"/>
        </w:rPr>
        <w:t>的专家劳务费标准为每个项目500元（税后），包含出具评审意见的全部费用</w:t>
      </w:r>
      <w:r>
        <w:rPr>
          <w:rFonts w:hint="eastAsia" w:ascii="仿宋_GB2312" w:hAnsi="仿宋_GB2312" w:eastAsia="仿宋_GB2312" w:cs="仿宋_GB2312"/>
          <w:color w:val="auto"/>
          <w:sz w:val="32"/>
          <w:szCs w:val="32"/>
        </w:rPr>
        <w:t>。</w:t>
      </w:r>
    </w:p>
    <w:p>
      <w:pPr>
        <w:widowControl/>
        <w:shd w:val="clear" w:color="auto" w:fill="FFFFFF"/>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w:t>
      </w:r>
      <w:r>
        <w:rPr>
          <w:rFonts w:hint="eastAsia" w:ascii="黑体" w:hAnsi="Verdana" w:eastAsia="黑体" w:cs="宋体"/>
          <w:color w:val="auto"/>
          <w:kern w:val="0"/>
          <w:sz w:val="32"/>
          <w:szCs w:val="32"/>
        </w:rPr>
        <w:t>二十一</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上述标准为评审劳务费标准上限，财政部门可根据实际工作情况酌情降低。省级党政机关评审费管理制度</w:t>
      </w:r>
      <w:r>
        <w:rPr>
          <w:rFonts w:ascii="仿宋_GB2312" w:hAnsi="仿宋_GB2312" w:eastAsia="仿宋_GB2312" w:cs="仿宋_GB2312"/>
          <w:color w:val="auto"/>
          <w:sz w:val="32"/>
          <w:szCs w:val="32"/>
        </w:rPr>
        <w:t>如有修订或调整，按调整后的规定执行。</w:t>
      </w:r>
      <w:r>
        <w:rPr>
          <w:rFonts w:hint="eastAsia" w:ascii="仿宋_GB2312" w:hAnsi="仿宋_GB2312" w:eastAsia="仿宋_GB2312" w:cs="仿宋_GB2312"/>
          <w:color w:val="auto"/>
          <w:sz w:val="32"/>
          <w:szCs w:val="32"/>
        </w:rPr>
        <w:t>除与财政部门约定的委托服务费用之外，专家不得收取其他任何费用。</w:t>
      </w:r>
    </w:p>
    <w:p>
      <w:pPr>
        <w:spacing w:before="113" w:beforeLines="20" w:after="113" w:afterLines="20" w:line="576" w:lineRule="exact"/>
        <w:jc w:val="center"/>
        <w:rPr>
          <w:rFonts w:hint="eastAsia" w:ascii="黑体" w:hAnsi="宋体" w:eastAsia="黑体"/>
          <w:color w:val="auto"/>
          <w:sz w:val="32"/>
          <w:szCs w:val="32"/>
        </w:rPr>
      </w:pPr>
      <w:r>
        <w:rPr>
          <w:rFonts w:ascii="黑体" w:hAnsi="宋体" w:eastAsia="黑体"/>
          <w:color w:val="auto"/>
          <w:sz w:val="32"/>
          <w:szCs w:val="32"/>
        </w:rPr>
        <w:t xml:space="preserve">第六章 </w:t>
      </w:r>
      <w:r>
        <w:rPr>
          <w:rFonts w:hint="eastAsia" w:ascii="黑体" w:hAnsi="宋体" w:eastAsia="黑体"/>
          <w:color w:val="auto"/>
          <w:sz w:val="32"/>
          <w:szCs w:val="32"/>
          <w:lang w:val="en-US" w:eastAsia="zh-CN"/>
        </w:rPr>
        <w:t xml:space="preserve"> </w:t>
      </w:r>
      <w:r>
        <w:rPr>
          <w:rFonts w:ascii="黑体" w:hAnsi="宋体" w:eastAsia="黑体"/>
          <w:color w:val="auto"/>
          <w:sz w:val="32"/>
          <w:szCs w:val="32"/>
        </w:rPr>
        <w:t>专家</w:t>
      </w:r>
      <w:r>
        <w:rPr>
          <w:rFonts w:hint="eastAsia" w:ascii="黑体" w:hAnsi="宋体" w:eastAsia="黑体"/>
          <w:color w:val="auto"/>
          <w:sz w:val="32"/>
          <w:szCs w:val="32"/>
        </w:rPr>
        <w:t>考核</w:t>
      </w:r>
      <w:r>
        <w:rPr>
          <w:rFonts w:ascii="黑体" w:hAnsi="宋体" w:eastAsia="黑体"/>
          <w:color w:val="auto"/>
          <w:sz w:val="32"/>
          <w:szCs w:val="32"/>
        </w:rPr>
        <w:t>与监督</w:t>
      </w:r>
    </w:p>
    <w:p>
      <w:pPr>
        <w:widowControl/>
        <w:shd w:val="clear" w:color="auto" w:fill="FFFFFF"/>
        <w:spacing w:line="576" w:lineRule="exact"/>
        <w:ind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第二十二条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省级财政部门遵循公开透明、客观公正、实事求是、奖优罚劣的原则，对专家</w:t>
      </w:r>
      <w:r>
        <w:rPr>
          <w:rFonts w:ascii="仿宋_GB2312" w:hAnsi="仿宋_GB2312" w:eastAsia="仿宋_GB2312" w:cs="仿宋_GB2312"/>
          <w:color w:val="auto"/>
          <w:sz w:val="32"/>
          <w:szCs w:val="32"/>
        </w:rPr>
        <w:t>实行年度考核</w:t>
      </w:r>
      <w:r>
        <w:rPr>
          <w:rFonts w:hint="eastAsia" w:ascii="仿宋_GB2312" w:hAnsi="仿宋_GB2312" w:eastAsia="仿宋_GB2312" w:cs="仿宋_GB2312"/>
          <w:color w:val="auto"/>
          <w:sz w:val="32"/>
          <w:szCs w:val="32"/>
        </w:rPr>
        <w:t>。</w:t>
      </w:r>
    </w:p>
    <w:p>
      <w:pPr>
        <w:widowControl/>
        <w:shd w:val="clear" w:color="auto" w:fill="FFFFFF"/>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第二十三条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专家年度考核采用百分制，重点考核</w:t>
      </w:r>
      <w:r>
        <w:rPr>
          <w:rFonts w:hint="eastAsia" w:ascii="仿宋_GB2312" w:hAnsi="仿宋_GB2312" w:eastAsia="仿宋_GB2312" w:cs="仿宋_GB2312"/>
          <w:color w:val="auto"/>
          <w:sz w:val="32"/>
          <w:szCs w:val="32"/>
        </w:rPr>
        <w:t>评审纪律</w:t>
      </w:r>
      <w:r>
        <w:rPr>
          <w:rFonts w:ascii="仿宋_GB2312" w:hAnsi="仿宋_GB2312" w:eastAsia="仿宋_GB2312" w:cs="仿宋_GB2312"/>
          <w:color w:val="auto"/>
          <w:sz w:val="32"/>
          <w:szCs w:val="32"/>
        </w:rPr>
        <w:t>、专业能力</w:t>
      </w:r>
      <w:r>
        <w:rPr>
          <w:rFonts w:hint="eastAsia" w:ascii="仿宋_GB2312" w:hAnsi="仿宋_GB2312" w:eastAsia="仿宋_GB2312" w:cs="仿宋_GB2312"/>
          <w:color w:val="auto"/>
          <w:sz w:val="32"/>
          <w:szCs w:val="32"/>
        </w:rPr>
        <w:t>、协同</w:t>
      </w:r>
      <w:r>
        <w:rPr>
          <w:rFonts w:ascii="仿宋_GB2312" w:hAnsi="仿宋_GB2312" w:eastAsia="仿宋_GB2312" w:cs="仿宋_GB2312"/>
          <w:color w:val="auto"/>
          <w:sz w:val="32"/>
          <w:szCs w:val="32"/>
        </w:rPr>
        <w:t>效率和评审质量四个方面。</w:t>
      </w:r>
      <w:r>
        <w:rPr>
          <w:rFonts w:hint="eastAsia" w:ascii="仿宋_GB2312" w:eastAsia="仿宋_GB2312"/>
          <w:color w:val="auto"/>
          <w:sz w:val="32"/>
          <w:szCs w:val="32"/>
        </w:rPr>
        <w:t>具体考核内容详见附件2</w:t>
      </w:r>
      <w:r>
        <w:rPr>
          <w:rFonts w:ascii="仿宋_GB2312" w:hAnsi="仿宋_GB2312" w:eastAsia="仿宋_GB2312" w:cs="仿宋_GB2312"/>
          <w:color w:val="auto"/>
          <w:sz w:val="32"/>
          <w:szCs w:val="32"/>
        </w:rPr>
        <w:t>。</w:t>
      </w:r>
    </w:p>
    <w:p>
      <w:pPr>
        <w:widowControl/>
        <w:spacing w:line="560" w:lineRule="exact"/>
        <w:ind w:firstLine="624" w:firstLineChars="200"/>
        <w:rPr>
          <w:rFonts w:ascii="仿宋_GB2312" w:eastAsia="仿宋_GB2312"/>
          <w:color w:val="auto"/>
          <w:sz w:val="32"/>
          <w:szCs w:val="32"/>
        </w:rPr>
      </w:pPr>
      <w:r>
        <w:rPr>
          <w:rFonts w:ascii="黑体" w:hAnsi="Verdana" w:eastAsia="黑体" w:cs="宋体"/>
          <w:color w:val="auto"/>
          <w:kern w:val="0"/>
          <w:sz w:val="32"/>
          <w:szCs w:val="32"/>
        </w:rPr>
        <w:t>第二十</w:t>
      </w:r>
      <w:r>
        <w:rPr>
          <w:rFonts w:hint="eastAsia" w:ascii="黑体" w:hAnsi="Verdana" w:eastAsia="黑体" w:cs="宋体"/>
          <w:color w:val="auto"/>
          <w:kern w:val="0"/>
          <w:sz w:val="32"/>
          <w:szCs w:val="32"/>
        </w:rPr>
        <w:t>四</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考核结果分为四档：90分（含）以上为优秀；80分（含）至90分（不含）为良好；60分（含）至80分（不含）为合格；不满60分为不合格。</w:t>
      </w:r>
      <w:r>
        <w:rPr>
          <w:rFonts w:ascii="仿宋_GB2312" w:eastAsia="仿宋_GB2312"/>
          <w:color w:val="auto"/>
          <w:sz w:val="32"/>
          <w:szCs w:val="32"/>
        </w:rPr>
        <w:t>出现</w:t>
      </w:r>
      <w:r>
        <w:rPr>
          <w:rFonts w:hint="eastAsia" w:ascii="仿宋_GB2312" w:eastAsia="仿宋_GB2312"/>
          <w:color w:val="auto"/>
          <w:sz w:val="32"/>
          <w:szCs w:val="32"/>
        </w:rPr>
        <w:t>本办法第二十七条规定情形之一的</w:t>
      </w:r>
      <w:r>
        <w:rPr>
          <w:rFonts w:ascii="仿宋_GB2312" w:eastAsia="仿宋_GB2312"/>
          <w:color w:val="auto"/>
          <w:sz w:val="32"/>
          <w:szCs w:val="32"/>
        </w:rPr>
        <w:t>一律评为不合格。</w:t>
      </w:r>
    </w:p>
    <w:p>
      <w:pPr>
        <w:pStyle w:val="2"/>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第二十</w:t>
      </w:r>
      <w:r>
        <w:rPr>
          <w:rFonts w:hint="eastAsia" w:ascii="黑体" w:hAnsi="Verdana" w:eastAsia="黑体" w:cs="宋体"/>
          <w:color w:val="auto"/>
          <w:kern w:val="0"/>
          <w:sz w:val="32"/>
          <w:szCs w:val="32"/>
        </w:rPr>
        <w:t>五</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考核结果作为专家续聘及动态调整的</w:t>
      </w:r>
      <w:r>
        <w:rPr>
          <w:rFonts w:hint="eastAsia" w:ascii="仿宋_GB2312" w:hAnsi="仿宋_GB2312" w:eastAsia="仿宋_GB2312" w:cs="仿宋_GB2312"/>
          <w:color w:val="auto"/>
          <w:sz w:val="32"/>
          <w:szCs w:val="32"/>
        </w:rPr>
        <w:t>参考</w:t>
      </w:r>
      <w:r>
        <w:rPr>
          <w:rFonts w:ascii="仿宋_GB2312" w:hAnsi="仿宋_GB2312" w:eastAsia="仿宋_GB2312" w:cs="仿宋_GB2312"/>
          <w:color w:val="auto"/>
          <w:sz w:val="32"/>
          <w:szCs w:val="32"/>
        </w:rPr>
        <w:t>依据</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考核结果为优秀的，在后续评审任务中优先推荐；考核结果为不合格</w:t>
      </w:r>
      <w:r>
        <w:rPr>
          <w:rFonts w:hint="eastAsia" w:ascii="仿宋_GB2312" w:hAnsi="仿宋_GB2312" w:eastAsia="仿宋_GB2312" w:cs="仿宋_GB2312"/>
          <w:color w:val="auto"/>
          <w:sz w:val="32"/>
          <w:szCs w:val="32"/>
        </w:rPr>
        <w:t>的，予以解聘</w:t>
      </w:r>
      <w:r>
        <w:rPr>
          <w:rFonts w:ascii="仿宋_GB2312" w:hAnsi="仿宋_GB2312" w:eastAsia="仿宋_GB2312" w:cs="仿宋_GB2312"/>
          <w:color w:val="auto"/>
          <w:sz w:val="32"/>
          <w:szCs w:val="32"/>
        </w:rPr>
        <w:t>。</w:t>
      </w:r>
    </w:p>
    <w:p>
      <w:pPr>
        <w:pStyle w:val="2"/>
        <w:spacing w:line="576" w:lineRule="exact"/>
        <w:ind w:firstLine="624" w:firstLineChars="200"/>
        <w:rPr>
          <w:rFonts w:ascii="Times New Roman" w:hAnsi="Times New Roman"/>
          <w:color w:val="auto"/>
        </w:rPr>
      </w:pPr>
      <w:r>
        <w:rPr>
          <w:rFonts w:ascii="黑体" w:hAnsi="Verdana" w:eastAsia="黑体" w:cs="宋体"/>
          <w:color w:val="auto"/>
          <w:kern w:val="0"/>
          <w:sz w:val="32"/>
          <w:szCs w:val="32"/>
        </w:rPr>
        <w:t>第二十</w:t>
      </w:r>
      <w:r>
        <w:rPr>
          <w:rFonts w:hint="eastAsia" w:ascii="黑体" w:hAnsi="Verdana" w:eastAsia="黑体" w:cs="宋体"/>
          <w:color w:val="auto"/>
          <w:kern w:val="0"/>
          <w:sz w:val="32"/>
          <w:szCs w:val="32"/>
        </w:rPr>
        <w:t>六</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省级财政部门建立专家档案，详细记载专家基本信息、评审经历、考核评价及不良行为记录，实行一人一档、动态更新。</w:t>
      </w:r>
    </w:p>
    <w:p>
      <w:pPr>
        <w:widowControl/>
        <w:shd w:val="clear" w:color="auto" w:fill="FFFFFF"/>
        <w:spacing w:line="576" w:lineRule="exact"/>
        <w:ind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第二十七条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专家</w:t>
      </w:r>
      <w:bookmarkStart w:id="1" w:name="OLE_LINK6"/>
      <w:r>
        <w:rPr>
          <w:rFonts w:hint="eastAsia" w:ascii="仿宋_GB2312" w:hAnsi="仿宋_GB2312" w:eastAsia="仿宋_GB2312" w:cs="仿宋_GB2312"/>
          <w:color w:val="auto"/>
          <w:sz w:val="32"/>
          <w:szCs w:val="32"/>
        </w:rPr>
        <w:t>有下列情形之一的，取消承担评审任务资格，且三年内不得再次申请承担财政评审任务</w:t>
      </w:r>
      <w:bookmarkEnd w:id="1"/>
      <w:r>
        <w:rPr>
          <w:rFonts w:hint="eastAsia" w:ascii="仿宋_GB2312" w:hAnsi="仿宋_GB2312" w:eastAsia="仿宋_GB2312" w:cs="仿宋_GB2312"/>
          <w:color w:val="auto"/>
          <w:sz w:val="32"/>
          <w:szCs w:val="32"/>
        </w:rPr>
        <w:t>。</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（一）与被评审单位或项目相关单位串通舞弊、隐瞒事实、弄虚作假的；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（二）违反保密纪律，泄露评审工作中获取的国家秘密或商业秘密，或将评审情况、结果用于评审工作无关事项，造成重大损失或不良影响的；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（三）违反廉洁评审规定，利用评审工作谋取不正当利益的；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（四）违反回避制度</w:t>
      </w:r>
      <w:r>
        <w:rPr>
          <w:rFonts w:ascii="仿宋_GB2312" w:hAnsi="仿宋_GB2312" w:eastAsia="仿宋_GB2312" w:cs="仿宋_GB2312"/>
          <w:color w:val="auto"/>
          <w:sz w:val="32"/>
          <w:szCs w:val="32"/>
        </w:rPr>
        <w:t>且造成不良后果的；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（五）转包评审任务或借用资质承揽评审任务的；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（六）因个人原因给财政部门</w:t>
      </w:r>
      <w:r>
        <w:rPr>
          <w:rFonts w:ascii="仿宋_GB2312" w:hAnsi="仿宋_GB2312" w:eastAsia="仿宋_GB2312" w:cs="仿宋_GB2312"/>
          <w:color w:val="auto"/>
          <w:sz w:val="32"/>
          <w:szCs w:val="32"/>
        </w:rPr>
        <w:t>或相关单位</w:t>
      </w:r>
      <w:r>
        <w:rPr>
          <w:rFonts w:hint="eastAsia" w:ascii="仿宋_GB2312" w:hAnsi="仿宋_GB2312" w:eastAsia="仿宋_GB2312" w:cs="仿宋_GB2312"/>
          <w:color w:val="auto"/>
          <w:sz w:val="32"/>
          <w:szCs w:val="32"/>
        </w:rPr>
        <w:t>造成重大损失或不良影响的；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（七）拒不履行或不按规定履行评审义务</w:t>
      </w:r>
      <w:r>
        <w:rPr>
          <w:rFonts w:ascii="仿宋_GB2312" w:hAnsi="仿宋_GB2312" w:eastAsia="仿宋_GB2312" w:cs="仿宋_GB2312"/>
          <w:color w:val="auto"/>
          <w:sz w:val="32"/>
          <w:szCs w:val="32"/>
        </w:rPr>
        <w:t>，情节严重或造成不良后果的；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（八）拒绝接受财政部门指导和考核，或考核不合格的；</w:t>
      </w:r>
    </w:p>
    <w:p>
      <w:pPr>
        <w:widowControl/>
        <w:spacing w:line="576" w:lineRule="exact"/>
        <w:ind w:firstLine="62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（九）被依法列入失信联合惩戒对象名单，或因违反职业操守等违法违规行为被司法机关判罚、行业主管部门处罚、其他政府部门列入“黑名单”的。</w:t>
      </w:r>
    </w:p>
    <w:p>
      <w:pPr>
        <w:widowControl/>
        <w:spacing w:line="576" w:lineRule="exact"/>
        <w:ind w:firstLine="624" w:firstLineChars="200"/>
        <w:rPr>
          <w:rFonts w:hint="eastAsia" w:ascii="仿宋_GB2312" w:hAnsi="仿宋_GB2312" w:eastAsia="仿宋_GB2312" w:cs="仿宋_GB2312"/>
          <w:color w:val="auto"/>
          <w:sz w:val="32"/>
          <w:szCs w:val="32"/>
        </w:rPr>
      </w:pPr>
      <w:r>
        <w:rPr>
          <w:rFonts w:ascii="黑体" w:hAnsi="Verdana" w:eastAsia="黑体" w:cs="宋体"/>
          <w:color w:val="auto"/>
          <w:kern w:val="0"/>
          <w:sz w:val="32"/>
          <w:szCs w:val="32"/>
        </w:rPr>
        <w:t>第二十</w:t>
      </w:r>
      <w:r>
        <w:rPr>
          <w:rFonts w:hint="eastAsia" w:ascii="黑体" w:hAnsi="Verdana" w:eastAsia="黑体" w:cs="宋体"/>
          <w:color w:val="auto"/>
          <w:kern w:val="0"/>
          <w:sz w:val="32"/>
          <w:szCs w:val="32"/>
        </w:rPr>
        <w:t>八</w:t>
      </w:r>
      <w:r>
        <w:rPr>
          <w:rFonts w:ascii="黑体" w:hAnsi="Verdana" w:eastAsia="黑体" w:cs="宋体"/>
          <w:color w:val="auto"/>
          <w:kern w:val="0"/>
          <w:sz w:val="32"/>
          <w:szCs w:val="32"/>
        </w:rPr>
        <w:t>条</w:t>
      </w:r>
      <w:r>
        <w:rPr>
          <w:rFonts w:hint="eastAsia" w:ascii="黑体" w:hAnsi="宋体" w:eastAsia="黑体"/>
          <w:color w:val="auto"/>
          <w:sz w:val="32"/>
          <w:szCs w:val="32"/>
        </w:rPr>
        <w:t xml:space="preserve">  </w:t>
      </w:r>
      <w:r>
        <w:rPr>
          <w:rFonts w:ascii="仿宋_GB2312" w:hAnsi="仿宋_GB2312" w:eastAsia="仿宋_GB2312" w:cs="仿宋_GB2312"/>
          <w:color w:val="auto"/>
          <w:sz w:val="32"/>
          <w:szCs w:val="32"/>
        </w:rPr>
        <w:t>专家违法行为涉嫌犯罪的，财政部门应及时移送司法机关依法追究刑事责任。因违法行为给他人造成损失的，依法承担民事责任。</w:t>
      </w:r>
    </w:p>
    <w:p>
      <w:pPr>
        <w:spacing w:before="113" w:beforeLines="20" w:after="113" w:afterLines="20" w:line="576" w:lineRule="exact"/>
        <w:jc w:val="center"/>
        <w:rPr>
          <w:rFonts w:hint="eastAsia" w:ascii="黑体" w:hAnsi="宋体" w:eastAsia="黑体"/>
          <w:color w:val="auto"/>
          <w:sz w:val="32"/>
          <w:szCs w:val="32"/>
        </w:rPr>
      </w:pPr>
      <w:r>
        <w:rPr>
          <w:rFonts w:hint="eastAsia" w:ascii="黑体" w:hAnsi="宋体" w:eastAsia="黑体"/>
          <w:color w:val="auto"/>
          <w:sz w:val="32"/>
          <w:szCs w:val="32"/>
        </w:rPr>
        <w:t>第七章  附则</w:t>
      </w:r>
    </w:p>
    <w:p>
      <w:pPr>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第二十九条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本办法由湖北省财政厅负责解释。</w:t>
      </w:r>
    </w:p>
    <w:p>
      <w:pPr>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第三十条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各市（州）、直管市、林区、县（市、区）财政部门可结合本地实际，参照本办法制定相关实施细则。</w:t>
      </w:r>
    </w:p>
    <w:p>
      <w:pPr>
        <w:spacing w:line="576" w:lineRule="exact"/>
        <w:ind w:left="101" w:leftChars="50" w:right="101" w:rightChars="50" w:firstLine="624" w:firstLineChars="200"/>
        <w:rPr>
          <w:rFonts w:hint="eastAsia" w:ascii="仿宋_GB2312" w:hAnsi="仿宋_GB2312" w:eastAsia="仿宋_GB2312" w:cs="仿宋_GB2312"/>
          <w:color w:val="auto"/>
          <w:sz w:val="32"/>
          <w:szCs w:val="32"/>
        </w:rPr>
      </w:pPr>
      <w:r>
        <w:rPr>
          <w:rFonts w:hint="eastAsia" w:ascii="黑体" w:hAnsi="Verdana" w:eastAsia="黑体" w:cs="宋体"/>
          <w:color w:val="auto"/>
          <w:kern w:val="0"/>
          <w:sz w:val="32"/>
          <w:szCs w:val="32"/>
        </w:rPr>
        <w:t>第三十一条</w:t>
      </w:r>
      <w:r>
        <w:rPr>
          <w:rFonts w:hint="eastAsia" w:ascii="黑体" w:hAnsi="宋体" w:eastAsia="黑体"/>
          <w:color w:val="auto"/>
          <w:sz w:val="32"/>
          <w:szCs w:val="32"/>
        </w:rPr>
        <w:t xml:space="preserve">  </w:t>
      </w:r>
      <w:r>
        <w:rPr>
          <w:rFonts w:hint="eastAsia" w:ascii="仿宋_GB2312" w:hAnsi="仿宋_GB2312" w:eastAsia="仿宋_GB2312" w:cs="仿宋_GB2312"/>
          <w:color w:val="auto"/>
          <w:sz w:val="32"/>
          <w:szCs w:val="32"/>
        </w:rPr>
        <w:t>本办法自颁布之日起实施，有效期五年。</w:t>
      </w:r>
    </w:p>
    <w:p>
      <w:pPr>
        <w:spacing w:line="576" w:lineRule="exact"/>
        <w:ind w:firstLine="1560" w:firstLineChars="500"/>
        <w:rPr>
          <w:rFonts w:ascii="仿宋_GB2312" w:eastAsia="仿宋_GB2312"/>
          <w:color w:val="auto"/>
          <w:sz w:val="32"/>
          <w:szCs w:val="32"/>
        </w:rPr>
      </w:pPr>
    </w:p>
    <w:p>
      <w:pPr>
        <w:spacing w:line="576" w:lineRule="exact"/>
        <w:rPr>
          <w:rFonts w:hint="eastAsia" w:ascii="黑体" w:hAnsi="黑体" w:eastAsia="黑体" w:cs="黑体"/>
          <w:color w:val="auto"/>
          <w:sz w:val="32"/>
          <w:szCs w:val="32"/>
        </w:rPr>
        <w:sectPr>
          <w:footerReference r:id="rId3" w:type="default"/>
          <w:pgSz w:w="11906" w:h="16838"/>
          <w:pgMar w:top="1440" w:right="1800" w:bottom="1440" w:left="1800" w:header="851" w:footer="992" w:gutter="0"/>
          <w:pgNumType w:fmt="numberInDash" w:start="1"/>
          <w:cols w:space="720" w:num="1"/>
          <w:docGrid w:type="linesAndChars" w:linePitch="569" w:charSpace="-1721"/>
        </w:sectPr>
      </w:pPr>
    </w:p>
    <w:p>
      <w:pPr>
        <w:spacing w:line="560" w:lineRule="exact"/>
        <w:jc w:val="left"/>
        <w:rPr>
          <w:rFonts w:hint="eastAsia" w:ascii="黑体" w:hAnsi="黑体" w:eastAsia="黑体" w:cs="黑体"/>
          <w:color w:val="auto"/>
          <w:sz w:val="32"/>
          <w:szCs w:val="32"/>
        </w:rPr>
      </w:pPr>
      <w:r>
        <w:rPr>
          <w:rFonts w:hint="eastAsia" w:ascii="黑体" w:hAnsi="黑体" w:eastAsia="黑体" w:cs="黑体"/>
          <w:color w:val="auto"/>
          <w:sz w:val="32"/>
          <w:szCs w:val="32"/>
        </w:rPr>
        <w:t>附件1</w:t>
      </w:r>
    </w:p>
    <w:p>
      <w:pPr>
        <w:spacing w:before="113" w:beforeLines="20" w:after="113" w:afterLines="20" w:line="560" w:lineRule="exact"/>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湖北省省级财政评审专家申报表</w:t>
      </w:r>
    </w:p>
    <w:p>
      <w:pPr>
        <w:spacing w:line="560" w:lineRule="exact"/>
        <w:jc w:val="right"/>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szCs w:val="24"/>
        </w:rPr>
        <w:t>填表时间：     年  月  日</w:t>
      </w:r>
    </w:p>
    <w:tbl>
      <w:tblPr>
        <w:tblStyle w:val="18"/>
        <w:tblW w:w="8701"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1713"/>
        <w:gridCol w:w="834"/>
        <w:gridCol w:w="857"/>
        <w:gridCol w:w="813"/>
        <w:gridCol w:w="807"/>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姓  名</w:t>
            </w: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性  别</w:t>
            </w:r>
          </w:p>
        </w:tc>
        <w:tc>
          <w:tcPr>
            <w:tcW w:w="1620" w:type="dxa"/>
            <w:gridSpan w:val="2"/>
          </w:tcPr>
          <w:p>
            <w:pPr>
              <w:spacing w:line="560" w:lineRule="exact"/>
              <w:jc w:val="center"/>
              <w:rPr>
                <w:rFonts w:hint="eastAsia" w:ascii="仿宋_GB2312" w:hAnsi="仿宋_GB2312" w:eastAsia="仿宋_GB2312" w:cs="仿宋_GB2312"/>
                <w:b/>
                <w:bCs/>
                <w:color w:val="auto"/>
                <w:kern w:val="0"/>
                <w:sz w:val="24"/>
              </w:rPr>
            </w:pPr>
          </w:p>
        </w:tc>
        <w:tc>
          <w:tcPr>
            <w:tcW w:w="1844" w:type="dxa"/>
            <w:vMerge w:val="restart"/>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照  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民  族</w:t>
            </w: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出生日期</w:t>
            </w:r>
          </w:p>
        </w:tc>
        <w:tc>
          <w:tcPr>
            <w:tcW w:w="1620" w:type="dxa"/>
            <w:gridSpan w:val="2"/>
          </w:tcPr>
          <w:p>
            <w:pPr>
              <w:spacing w:line="560" w:lineRule="exact"/>
              <w:jc w:val="center"/>
              <w:rPr>
                <w:rFonts w:hint="eastAsia" w:ascii="仿宋_GB2312" w:hAnsi="仿宋_GB2312" w:eastAsia="仿宋_GB2312" w:cs="仿宋_GB2312"/>
                <w:b/>
                <w:bCs/>
                <w:color w:val="auto"/>
                <w:kern w:val="0"/>
                <w:sz w:val="24"/>
              </w:rPr>
            </w:pPr>
          </w:p>
        </w:tc>
        <w:tc>
          <w:tcPr>
            <w:tcW w:w="1844" w:type="dxa"/>
            <w:vMerge w:val="continue"/>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政治面貌</w:t>
            </w: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健康状况</w:t>
            </w:r>
          </w:p>
        </w:tc>
        <w:tc>
          <w:tcPr>
            <w:tcW w:w="1620" w:type="dxa"/>
            <w:gridSpan w:val="2"/>
          </w:tcPr>
          <w:p>
            <w:pPr>
              <w:spacing w:line="560" w:lineRule="exact"/>
              <w:jc w:val="center"/>
              <w:rPr>
                <w:rFonts w:hint="eastAsia" w:ascii="仿宋_GB2312" w:hAnsi="仿宋_GB2312" w:eastAsia="仿宋_GB2312" w:cs="仿宋_GB2312"/>
                <w:b/>
                <w:bCs/>
                <w:color w:val="auto"/>
                <w:kern w:val="0"/>
                <w:sz w:val="24"/>
              </w:rPr>
            </w:pPr>
          </w:p>
        </w:tc>
        <w:tc>
          <w:tcPr>
            <w:tcW w:w="1844" w:type="dxa"/>
            <w:vMerge w:val="continue"/>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身份证号</w:t>
            </w: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学  历</w:t>
            </w:r>
          </w:p>
        </w:tc>
        <w:tc>
          <w:tcPr>
            <w:tcW w:w="1620" w:type="dxa"/>
            <w:gridSpan w:val="2"/>
          </w:tcPr>
          <w:p>
            <w:pPr>
              <w:spacing w:line="560" w:lineRule="exact"/>
              <w:jc w:val="center"/>
              <w:rPr>
                <w:rFonts w:hint="eastAsia" w:ascii="仿宋_GB2312" w:hAnsi="仿宋_GB2312" w:eastAsia="仿宋_GB2312" w:cs="仿宋_GB2312"/>
                <w:b/>
                <w:bCs/>
                <w:color w:val="auto"/>
                <w:kern w:val="0"/>
                <w:sz w:val="24"/>
              </w:rPr>
            </w:pPr>
          </w:p>
        </w:tc>
        <w:tc>
          <w:tcPr>
            <w:tcW w:w="1844" w:type="dxa"/>
            <w:vMerge w:val="continue"/>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毕业院校</w:t>
            </w: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毕业时间</w:t>
            </w:r>
          </w:p>
        </w:tc>
        <w:tc>
          <w:tcPr>
            <w:tcW w:w="1620" w:type="dxa"/>
            <w:gridSpan w:val="2"/>
          </w:tcPr>
          <w:p>
            <w:pPr>
              <w:spacing w:line="560" w:lineRule="exact"/>
              <w:jc w:val="center"/>
              <w:rPr>
                <w:rFonts w:hint="eastAsia" w:ascii="仿宋_GB2312" w:hAnsi="仿宋_GB2312" w:eastAsia="仿宋_GB2312" w:cs="仿宋_GB2312"/>
                <w:b/>
                <w:bCs/>
                <w:color w:val="auto"/>
                <w:kern w:val="0"/>
                <w:sz w:val="24"/>
              </w:rPr>
            </w:pPr>
          </w:p>
        </w:tc>
        <w:tc>
          <w:tcPr>
            <w:tcW w:w="1844" w:type="dxa"/>
            <w:vMerge w:val="continue"/>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所学专业</w:t>
            </w:r>
          </w:p>
        </w:tc>
        <w:tc>
          <w:tcPr>
            <w:tcW w:w="2547" w:type="dxa"/>
            <w:gridSpan w:val="2"/>
          </w:tcPr>
          <w:p>
            <w:pPr>
              <w:spacing w:line="560" w:lineRule="exact"/>
              <w:jc w:val="center"/>
              <w:rPr>
                <w:rFonts w:hint="eastAsia" w:ascii="仿宋_GB2312" w:hAnsi="仿宋_GB2312" w:eastAsia="仿宋_GB2312" w:cs="仿宋_GB2312"/>
                <w:b/>
                <w:bCs/>
                <w:color w:val="auto"/>
                <w:kern w:val="0"/>
                <w:sz w:val="24"/>
              </w:rPr>
            </w:pPr>
          </w:p>
        </w:tc>
        <w:tc>
          <w:tcPr>
            <w:tcW w:w="1670"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参加工作时间</w:t>
            </w:r>
          </w:p>
        </w:tc>
        <w:tc>
          <w:tcPr>
            <w:tcW w:w="2651" w:type="dxa"/>
            <w:gridSpan w:val="2"/>
            <w:tcBorders>
              <w:bottom w:val="nil"/>
            </w:tcBorders>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工作单位</w:t>
            </w:r>
          </w:p>
        </w:tc>
        <w:tc>
          <w:tcPr>
            <w:tcW w:w="2547" w:type="dxa"/>
            <w:gridSpan w:val="2"/>
            <w:vAlign w:val="center"/>
          </w:tcPr>
          <w:p>
            <w:pPr>
              <w:spacing w:line="560" w:lineRule="exact"/>
              <w:jc w:val="center"/>
              <w:rPr>
                <w:rFonts w:hint="eastAsia" w:ascii="仿宋_GB2312" w:hAnsi="仿宋_GB2312" w:eastAsia="仿宋_GB2312" w:cs="仿宋_GB2312"/>
                <w:b/>
                <w:bCs/>
                <w:color w:val="auto"/>
                <w:kern w:val="0"/>
                <w:sz w:val="24"/>
              </w:rPr>
            </w:pPr>
          </w:p>
        </w:tc>
        <w:tc>
          <w:tcPr>
            <w:tcW w:w="1670" w:type="dxa"/>
            <w:gridSpan w:val="2"/>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现任职务</w:t>
            </w:r>
          </w:p>
        </w:tc>
        <w:tc>
          <w:tcPr>
            <w:tcW w:w="2651" w:type="dxa"/>
            <w:gridSpan w:val="2"/>
            <w:vAlign w:val="center"/>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地址及邮编</w:t>
            </w:r>
          </w:p>
        </w:tc>
        <w:tc>
          <w:tcPr>
            <w:tcW w:w="6868" w:type="dxa"/>
            <w:gridSpan w:val="6"/>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Merge w:val="restart"/>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职称及</w:t>
            </w:r>
          </w:p>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证书证号</w:t>
            </w:r>
          </w:p>
        </w:tc>
        <w:tc>
          <w:tcPr>
            <w:tcW w:w="1713" w:type="dxa"/>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职称</w:t>
            </w: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发证单位</w:t>
            </w: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证书号及发证时间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trPr>
        <w:tc>
          <w:tcPr>
            <w:tcW w:w="1833" w:type="dxa"/>
            <w:vMerge w:val="continue"/>
          </w:tcPr>
          <w:p>
            <w:pPr>
              <w:spacing w:line="560" w:lineRule="exact"/>
              <w:jc w:val="center"/>
              <w:rPr>
                <w:rFonts w:hint="eastAsia" w:ascii="仿宋_GB2312" w:hAnsi="仿宋_GB2312" w:eastAsia="仿宋_GB2312" w:cs="仿宋_GB2312"/>
                <w:b/>
                <w:bCs/>
                <w:color w:val="auto"/>
                <w:kern w:val="0"/>
                <w:sz w:val="24"/>
              </w:rPr>
            </w:pP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Merge w:val="continue"/>
          </w:tcPr>
          <w:p>
            <w:pPr>
              <w:spacing w:line="560" w:lineRule="exact"/>
              <w:jc w:val="center"/>
              <w:rPr>
                <w:rFonts w:hint="eastAsia" w:ascii="仿宋_GB2312" w:hAnsi="仿宋_GB2312" w:eastAsia="仿宋_GB2312" w:cs="仿宋_GB2312"/>
                <w:b/>
                <w:bCs/>
                <w:color w:val="auto"/>
                <w:kern w:val="0"/>
                <w:sz w:val="24"/>
              </w:rPr>
            </w:pP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Merge w:val="continue"/>
          </w:tcPr>
          <w:p>
            <w:pPr>
              <w:spacing w:line="560" w:lineRule="exact"/>
              <w:jc w:val="center"/>
              <w:rPr>
                <w:rFonts w:hint="eastAsia" w:ascii="仿宋_GB2312" w:hAnsi="仿宋_GB2312" w:eastAsia="仿宋_GB2312" w:cs="仿宋_GB2312"/>
                <w:b/>
                <w:bCs/>
                <w:color w:val="auto"/>
                <w:kern w:val="0"/>
                <w:sz w:val="24"/>
              </w:rPr>
            </w:pP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833" w:type="dxa"/>
            <w:vMerge w:val="restart"/>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职业资格及</w:t>
            </w:r>
          </w:p>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证书证号</w:t>
            </w:r>
          </w:p>
        </w:tc>
        <w:tc>
          <w:tcPr>
            <w:tcW w:w="1713" w:type="dxa"/>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注册职业资格</w:t>
            </w: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发证单位</w:t>
            </w: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证书号及发证时间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Merge w:val="continue"/>
          </w:tcPr>
          <w:p>
            <w:pPr>
              <w:spacing w:line="560" w:lineRule="exact"/>
              <w:jc w:val="center"/>
              <w:rPr>
                <w:rFonts w:hint="eastAsia" w:ascii="仿宋_GB2312" w:hAnsi="仿宋_GB2312" w:eastAsia="仿宋_GB2312" w:cs="仿宋_GB2312"/>
                <w:b/>
                <w:bCs/>
                <w:color w:val="auto"/>
                <w:kern w:val="0"/>
                <w:sz w:val="24"/>
              </w:rPr>
            </w:pP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Merge w:val="continue"/>
          </w:tcPr>
          <w:p>
            <w:pPr>
              <w:spacing w:line="560" w:lineRule="exact"/>
              <w:jc w:val="center"/>
              <w:rPr>
                <w:rFonts w:hint="eastAsia" w:ascii="仿宋_GB2312" w:hAnsi="仿宋_GB2312" w:eastAsia="仿宋_GB2312" w:cs="仿宋_GB2312"/>
                <w:b/>
                <w:bCs/>
                <w:color w:val="auto"/>
                <w:kern w:val="0"/>
                <w:sz w:val="24"/>
              </w:rPr>
            </w:pP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vMerge w:val="continue"/>
          </w:tcPr>
          <w:p>
            <w:pPr>
              <w:spacing w:line="560" w:lineRule="exact"/>
              <w:jc w:val="center"/>
              <w:rPr>
                <w:rFonts w:hint="eastAsia" w:ascii="仿宋_GB2312" w:hAnsi="仿宋_GB2312" w:eastAsia="仿宋_GB2312" w:cs="仿宋_GB2312"/>
                <w:b/>
                <w:bCs/>
                <w:color w:val="auto"/>
                <w:kern w:val="0"/>
                <w:sz w:val="24"/>
              </w:rPr>
            </w:pP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办公电话</w:t>
            </w: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手机号码</w:t>
            </w: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3" w:type="dxa"/>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传  真</w:t>
            </w:r>
          </w:p>
        </w:tc>
        <w:tc>
          <w:tcPr>
            <w:tcW w:w="1713" w:type="dxa"/>
          </w:tcPr>
          <w:p>
            <w:pPr>
              <w:spacing w:line="560" w:lineRule="exact"/>
              <w:jc w:val="center"/>
              <w:rPr>
                <w:rFonts w:hint="eastAsia" w:ascii="仿宋_GB2312" w:hAnsi="仿宋_GB2312" w:eastAsia="仿宋_GB2312" w:cs="仿宋_GB2312"/>
                <w:b/>
                <w:bCs/>
                <w:color w:val="auto"/>
                <w:kern w:val="0"/>
                <w:sz w:val="24"/>
              </w:rPr>
            </w:pPr>
          </w:p>
        </w:tc>
        <w:tc>
          <w:tcPr>
            <w:tcW w:w="1691" w:type="dxa"/>
            <w:gridSpan w:val="2"/>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邮  箱</w:t>
            </w:r>
          </w:p>
        </w:tc>
        <w:tc>
          <w:tcPr>
            <w:tcW w:w="3464" w:type="dxa"/>
            <w:gridSpan w:val="3"/>
          </w:tcPr>
          <w:p>
            <w:pPr>
              <w:spacing w:line="560" w:lineRule="exact"/>
              <w:jc w:val="center"/>
              <w:rPr>
                <w:rFonts w:hint="eastAsia" w:ascii="仿宋_GB2312" w:hAnsi="仿宋_GB2312" w:eastAsia="仿宋_GB2312" w:cs="仿宋_GB2312"/>
                <w:b/>
                <w:bCs/>
                <w:color w:val="auto"/>
                <w:kern w:val="0"/>
                <w:sz w:val="24"/>
              </w:rPr>
            </w:pPr>
          </w:p>
        </w:tc>
      </w:tr>
    </w:tbl>
    <w:p>
      <w:pPr>
        <w:rPr>
          <w:color w:val="auto"/>
        </w:rPr>
        <w:sectPr>
          <w:footerReference r:id="rId4" w:type="default"/>
          <w:pgSz w:w="11906" w:h="16838"/>
          <w:pgMar w:top="2098" w:right="1417" w:bottom="1587" w:left="1587" w:header="851" w:footer="992" w:gutter="0"/>
          <w:pgNumType w:fmt="numberInDash"/>
          <w:cols w:space="720" w:num="1"/>
          <w:docGrid w:type="linesAndChars" w:linePitch="569" w:charSpace="-1721"/>
        </w:sectPr>
      </w:pPr>
    </w:p>
    <w:tbl>
      <w:tblPr>
        <w:tblStyle w:val="18"/>
        <w:tblW w:w="8701"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6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9" w:hRule="atLeast"/>
        </w:trPr>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专业特长及行业中担任职务</w:t>
            </w:r>
          </w:p>
        </w:tc>
        <w:tc>
          <w:tcPr>
            <w:tcW w:w="6868" w:type="dxa"/>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7" w:hRule="atLeast"/>
        </w:trPr>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国家或省部级专业科技奖项</w:t>
            </w:r>
          </w:p>
        </w:tc>
        <w:tc>
          <w:tcPr>
            <w:tcW w:w="6868" w:type="dxa"/>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4" w:hRule="atLeast"/>
        </w:trPr>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主要学术成果或项目成果</w:t>
            </w:r>
          </w:p>
        </w:tc>
        <w:tc>
          <w:tcPr>
            <w:tcW w:w="6868" w:type="dxa"/>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3" w:hRule="atLeast"/>
        </w:trPr>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所在单位</w:t>
            </w:r>
          </w:p>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意见（盖章）</w:t>
            </w:r>
          </w:p>
        </w:tc>
        <w:tc>
          <w:tcPr>
            <w:tcW w:w="6868" w:type="dxa"/>
          </w:tcPr>
          <w:p>
            <w:pPr>
              <w:spacing w:line="560" w:lineRule="exact"/>
              <w:jc w:val="center"/>
              <w:rPr>
                <w:rFonts w:hint="eastAsia" w:ascii="仿宋_GB2312" w:hAnsi="仿宋_GB2312" w:eastAsia="仿宋_GB2312" w:cs="仿宋_GB2312"/>
                <w:b/>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trPr>
        <w:tc>
          <w:tcPr>
            <w:tcW w:w="1833" w:type="dxa"/>
            <w:vAlign w:val="center"/>
          </w:tcPr>
          <w:p>
            <w:pPr>
              <w:spacing w:line="560" w:lineRule="exact"/>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szCs w:val="24"/>
              </w:rPr>
              <w:t>备  注</w:t>
            </w:r>
          </w:p>
        </w:tc>
        <w:tc>
          <w:tcPr>
            <w:tcW w:w="6868" w:type="dxa"/>
          </w:tcPr>
          <w:p>
            <w:pPr>
              <w:spacing w:line="560" w:lineRule="exact"/>
              <w:jc w:val="center"/>
              <w:rPr>
                <w:rFonts w:hint="eastAsia" w:ascii="仿宋_GB2312" w:hAnsi="仿宋_GB2312" w:eastAsia="仿宋_GB2312" w:cs="仿宋_GB2312"/>
                <w:b/>
                <w:bCs/>
                <w:color w:val="auto"/>
                <w:kern w:val="0"/>
                <w:sz w:val="24"/>
              </w:rPr>
            </w:pPr>
          </w:p>
        </w:tc>
      </w:tr>
    </w:tbl>
    <w:p>
      <w:pPr>
        <w:spacing w:line="560" w:lineRule="exact"/>
        <w:jc w:val="center"/>
        <w:rPr>
          <w:rFonts w:hint="eastAsia" w:ascii="仿宋_GB2312" w:hAnsi="仿宋_GB2312" w:eastAsia="仿宋_GB2312" w:cs="仿宋_GB2312"/>
          <w:b/>
          <w:bCs/>
          <w:color w:val="auto"/>
          <w:sz w:val="24"/>
        </w:rPr>
      </w:pPr>
    </w:p>
    <w:p>
      <w:pPr>
        <w:spacing w:line="576" w:lineRule="exact"/>
        <w:jc w:val="left"/>
        <w:rPr>
          <w:rFonts w:ascii="黑体" w:hAnsi="黑体" w:eastAsia="黑体" w:cs="黑体"/>
          <w:color w:val="auto"/>
          <w:sz w:val="32"/>
          <w:szCs w:val="32"/>
        </w:rPr>
      </w:pPr>
    </w:p>
    <w:tbl>
      <w:tblPr>
        <w:tblStyle w:val="18"/>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5882"/>
        <w:gridCol w:w="1125"/>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276" w:type="dxa"/>
            <w:tcBorders>
              <w:top w:val="nil"/>
              <w:left w:val="nil"/>
              <w:bottom w:val="nil"/>
              <w:right w:val="nil"/>
            </w:tcBorders>
            <w:vAlign w:val="center"/>
          </w:tcPr>
          <w:p>
            <w:pPr>
              <w:pStyle w:val="2"/>
              <w:rPr>
                <w:color w:val="auto"/>
                <w:kern w:val="0"/>
              </w:rPr>
            </w:pPr>
            <w:r>
              <w:rPr>
                <w:rFonts w:hint="eastAsia" w:ascii="黑体" w:hAnsi="宋体" w:eastAsia="黑体" w:cs="黑体"/>
                <w:color w:val="auto"/>
                <w:kern w:val="0"/>
                <w:sz w:val="32"/>
                <w:szCs w:val="32"/>
                <w:lang w:bidi="ar"/>
              </w:rPr>
              <w:t>附件2</w:t>
            </w:r>
          </w:p>
        </w:tc>
        <w:tc>
          <w:tcPr>
            <w:tcW w:w="5882" w:type="dxa"/>
            <w:tcBorders>
              <w:top w:val="nil"/>
              <w:left w:val="nil"/>
              <w:bottom w:val="nil"/>
              <w:right w:val="nil"/>
            </w:tcBorders>
            <w:vAlign w:val="center"/>
          </w:tcPr>
          <w:p>
            <w:pPr>
              <w:pStyle w:val="2"/>
              <w:rPr>
                <w:rFonts w:hint="eastAsia"/>
                <w:color w:val="auto"/>
                <w:kern w:val="0"/>
              </w:rPr>
            </w:pPr>
          </w:p>
        </w:tc>
        <w:tc>
          <w:tcPr>
            <w:tcW w:w="1125" w:type="dxa"/>
            <w:tcBorders>
              <w:top w:val="nil"/>
              <w:left w:val="nil"/>
              <w:bottom w:val="nil"/>
              <w:right w:val="nil"/>
            </w:tcBorders>
            <w:vAlign w:val="center"/>
          </w:tcPr>
          <w:p>
            <w:pPr>
              <w:pStyle w:val="2"/>
              <w:jc w:val="center"/>
              <w:rPr>
                <w:color w:val="auto"/>
                <w:kern w:val="0"/>
              </w:rPr>
            </w:pPr>
          </w:p>
        </w:tc>
        <w:tc>
          <w:tcPr>
            <w:tcW w:w="1000" w:type="dxa"/>
            <w:tcBorders>
              <w:top w:val="nil"/>
              <w:left w:val="nil"/>
              <w:bottom w:val="nil"/>
              <w:right w:val="nil"/>
            </w:tcBorders>
            <w:vAlign w:val="center"/>
          </w:tcPr>
          <w:p>
            <w:pPr>
              <w:pStyle w:val="2"/>
              <w:jc w:val="center"/>
              <w:rPr>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9283" w:type="dxa"/>
            <w:gridSpan w:val="4"/>
            <w:tcBorders>
              <w:top w:val="nil"/>
              <w:left w:val="nil"/>
              <w:bottom w:val="nil"/>
              <w:right w:val="nil"/>
            </w:tcBorders>
            <w:vAlign w:val="center"/>
          </w:tcPr>
          <w:p>
            <w:pPr>
              <w:pStyle w:val="2"/>
              <w:spacing w:before="284" w:beforeLines="50" w:after="284" w:afterLines="50"/>
              <w:jc w:val="center"/>
              <w:rPr>
                <w:rFonts w:hint="eastAsia" w:ascii="方正小标宋简体" w:hAnsi="方正小标宋简体" w:eastAsia="方正小标宋简体" w:cs="方正小标宋简体"/>
                <w:color w:val="auto"/>
                <w:kern w:val="0"/>
                <w:sz w:val="36"/>
                <w:szCs w:val="36"/>
                <w:lang w:bidi="ar"/>
              </w:rPr>
            </w:pPr>
            <w:r>
              <w:rPr>
                <w:rFonts w:hint="eastAsia" w:ascii="方正小标宋简体" w:hAnsi="方正小标宋简体" w:eastAsia="方正小标宋简体" w:cs="方正小标宋简体"/>
                <w:color w:val="auto"/>
                <w:kern w:val="0"/>
                <w:sz w:val="36"/>
                <w:szCs w:val="36"/>
                <w:lang w:bidi="ar"/>
              </w:rPr>
              <w:t>湖北省省级财政评审专家考核评分表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7158" w:type="dxa"/>
            <w:gridSpan w:val="2"/>
            <w:tcBorders>
              <w:top w:val="nil"/>
              <w:left w:val="nil"/>
              <w:bottom w:val="nil"/>
              <w:right w:val="nil"/>
            </w:tcBorders>
            <w:vAlign w:val="center"/>
          </w:tcPr>
          <w:p>
            <w:pPr>
              <w:pStyle w:val="2"/>
              <w:spacing w:after="284" w:afterLines="50"/>
              <w:ind w:firstLine="232" w:firstLineChars="100"/>
              <w:rPr>
                <w:rFonts w:hint="eastAsia" w:ascii="仿宋_GB2312" w:hAnsi="宋体" w:eastAsia="仿宋_GB2312" w:cs="仿宋_GB2312"/>
                <w:b/>
                <w:bCs/>
                <w:color w:val="auto"/>
                <w:kern w:val="0"/>
                <w:sz w:val="24"/>
                <w:lang w:bidi="ar"/>
              </w:rPr>
            </w:pPr>
            <w:r>
              <w:rPr>
                <w:rFonts w:hint="eastAsia" w:ascii="仿宋_GB2312" w:hAnsi="宋体" w:eastAsia="仿宋_GB2312" w:cs="仿宋_GB2312"/>
                <w:b/>
                <w:bCs/>
                <w:color w:val="auto"/>
                <w:kern w:val="0"/>
                <w:sz w:val="24"/>
                <w:szCs w:val="24"/>
                <w:lang w:bidi="ar"/>
              </w:rPr>
              <w:t>考核年度：                                    专家名称：</w:t>
            </w:r>
          </w:p>
        </w:tc>
        <w:tc>
          <w:tcPr>
            <w:tcW w:w="1125" w:type="dxa"/>
            <w:tcBorders>
              <w:top w:val="nil"/>
              <w:left w:val="nil"/>
              <w:bottom w:val="nil"/>
              <w:right w:val="nil"/>
            </w:tcBorders>
            <w:vAlign w:val="center"/>
          </w:tcPr>
          <w:p>
            <w:pPr>
              <w:pStyle w:val="2"/>
              <w:jc w:val="center"/>
              <w:rPr>
                <w:color w:val="auto"/>
                <w:kern w:val="0"/>
              </w:rPr>
            </w:pPr>
          </w:p>
        </w:tc>
        <w:tc>
          <w:tcPr>
            <w:tcW w:w="1000" w:type="dxa"/>
            <w:tcBorders>
              <w:top w:val="nil"/>
              <w:left w:val="nil"/>
              <w:bottom w:val="nil"/>
              <w:right w:val="nil"/>
            </w:tcBorders>
            <w:vAlign w:val="center"/>
          </w:tcPr>
          <w:p>
            <w:pPr>
              <w:pStyle w:val="2"/>
              <w:jc w:val="center"/>
              <w:rPr>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1276"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方正黑体_GBK" w:eastAsia="方正黑体_GBK"/>
                <w:color w:val="auto"/>
                <w:kern w:val="0"/>
                <w:sz w:val="24"/>
                <w:szCs w:val="24"/>
              </w:rPr>
            </w:pPr>
            <w:r>
              <w:rPr>
                <w:rFonts w:hint="eastAsia" w:ascii="方正黑体_GBK" w:hAnsi="宋体" w:eastAsia="方正黑体_GBK" w:cs="宋体"/>
                <w:color w:val="auto"/>
                <w:kern w:val="0"/>
                <w:sz w:val="24"/>
                <w:szCs w:val="24"/>
                <w:lang w:bidi="ar"/>
              </w:rPr>
              <w:t>考核内容</w:t>
            </w:r>
          </w:p>
        </w:tc>
        <w:tc>
          <w:tcPr>
            <w:tcW w:w="5882"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方正黑体_GBK" w:eastAsia="方正黑体_GBK"/>
                <w:color w:val="auto"/>
                <w:kern w:val="0"/>
                <w:sz w:val="24"/>
                <w:szCs w:val="24"/>
              </w:rPr>
            </w:pPr>
            <w:r>
              <w:rPr>
                <w:rFonts w:hint="eastAsia" w:ascii="方正黑体_GBK" w:hAnsi="宋体" w:eastAsia="方正黑体_GBK" w:cs="宋体"/>
                <w:color w:val="auto"/>
                <w:kern w:val="0"/>
                <w:sz w:val="24"/>
                <w:szCs w:val="24"/>
                <w:lang w:bidi="ar"/>
              </w:rPr>
              <w:t>评分标准</w:t>
            </w:r>
          </w:p>
        </w:tc>
        <w:tc>
          <w:tcPr>
            <w:tcW w:w="1125"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方正黑体_GBK" w:eastAsia="方正黑体_GBK"/>
                <w:color w:val="auto"/>
                <w:kern w:val="0"/>
                <w:sz w:val="24"/>
                <w:szCs w:val="24"/>
              </w:rPr>
            </w:pPr>
            <w:r>
              <w:rPr>
                <w:rFonts w:hint="eastAsia" w:ascii="方正黑体_GBK" w:hAnsi="宋体" w:eastAsia="方正黑体_GBK" w:cs="宋体"/>
                <w:color w:val="auto"/>
                <w:kern w:val="0"/>
                <w:sz w:val="24"/>
                <w:szCs w:val="24"/>
                <w:lang w:bidi="ar"/>
              </w:rPr>
              <w:t>分值</w:t>
            </w:r>
          </w:p>
        </w:tc>
        <w:tc>
          <w:tcPr>
            <w:tcW w:w="1000"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方正黑体_GBK" w:eastAsia="方正黑体_GBK"/>
                <w:color w:val="auto"/>
                <w:kern w:val="0"/>
                <w:sz w:val="24"/>
                <w:szCs w:val="24"/>
              </w:rPr>
            </w:pPr>
            <w:r>
              <w:rPr>
                <w:rFonts w:hint="eastAsia" w:ascii="方正黑体_GBK" w:eastAsia="方正黑体_GBK"/>
                <w:color w:val="auto"/>
                <w:kern w:val="0"/>
                <w:sz w:val="24"/>
                <w:szCs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1276"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lang w:bidi="ar"/>
              </w:rPr>
              <w:t>评审纪律</w:t>
            </w:r>
          </w:p>
        </w:tc>
        <w:tc>
          <w:tcPr>
            <w:tcW w:w="5882" w:type="dxa"/>
            <w:tcBorders>
              <w:top w:val="single" w:color="auto" w:sz="4" w:space="0"/>
              <w:left w:val="single" w:color="auto" w:sz="4" w:space="0"/>
              <w:bottom w:val="single" w:color="auto" w:sz="4" w:space="0"/>
              <w:right w:val="single" w:color="auto" w:sz="4" w:space="0"/>
            </w:tcBorders>
            <w:vAlign w:val="center"/>
          </w:tcPr>
          <w:p>
            <w:pPr>
              <w:pStyle w:val="2"/>
              <w:spacing w:line="320" w:lineRule="exact"/>
              <w:rPr>
                <w:rFonts w:hint="eastAsia" w:ascii="仿宋_GB2312" w:eastAsia="仿宋_GB2312" w:hAnsiTheme="minorEastAsia" w:cstheme="minorEastAsia"/>
                <w:color w:val="auto"/>
                <w:kern w:val="0"/>
                <w:sz w:val="24"/>
                <w:szCs w:val="24"/>
              </w:rPr>
            </w:pPr>
            <w:r>
              <w:rPr>
                <w:rFonts w:hint="eastAsia" w:ascii="仿宋_GB2312" w:eastAsia="仿宋_GB2312" w:hAnsiTheme="minorEastAsia" w:cstheme="minorEastAsia"/>
                <w:color w:val="auto"/>
                <w:kern w:val="0"/>
                <w:sz w:val="24"/>
                <w:szCs w:val="24"/>
              </w:rPr>
              <w:t>以下情况可累计扣分，扣完为止。</w:t>
            </w:r>
          </w:p>
          <w:p>
            <w:pPr>
              <w:pStyle w:val="2"/>
              <w:spacing w:line="320" w:lineRule="exact"/>
              <w:rPr>
                <w:rFonts w:ascii="仿宋_GB2312" w:eastAsia="仿宋_GB2312" w:hAnsiTheme="minorEastAsia" w:cstheme="minorEastAsia"/>
                <w:color w:val="auto"/>
                <w:kern w:val="0"/>
                <w:sz w:val="24"/>
                <w:szCs w:val="24"/>
              </w:rPr>
            </w:pPr>
            <w:r>
              <w:rPr>
                <w:rFonts w:ascii="仿宋_GB2312" w:eastAsia="仿宋_GB2312" w:hAnsiTheme="minorEastAsia" w:cstheme="minorEastAsia"/>
                <w:color w:val="auto"/>
                <w:kern w:val="0"/>
                <w:sz w:val="24"/>
                <w:szCs w:val="24"/>
              </w:rPr>
              <w:t>1.收到评审通知后，未在24小时内反馈是否参会，导致无法补抽专家</w:t>
            </w:r>
            <w:r>
              <w:rPr>
                <w:rFonts w:hint="eastAsia" w:ascii="仿宋_GB2312" w:eastAsia="仿宋_GB2312" w:hAnsiTheme="minorEastAsia" w:cstheme="minorEastAsia"/>
                <w:color w:val="auto"/>
                <w:kern w:val="0"/>
                <w:sz w:val="24"/>
                <w:szCs w:val="24"/>
              </w:rPr>
              <w:t>；或</w:t>
            </w:r>
            <w:r>
              <w:rPr>
                <w:rFonts w:ascii="仿宋_GB2312" w:eastAsia="仿宋_GB2312" w:hAnsiTheme="minorEastAsia" w:cstheme="minorEastAsia"/>
                <w:color w:val="auto"/>
                <w:kern w:val="0"/>
                <w:sz w:val="24"/>
                <w:szCs w:val="24"/>
              </w:rPr>
              <w:t>确认参会后，评审当天无故缺席</w:t>
            </w:r>
            <w:r>
              <w:rPr>
                <w:rFonts w:hint="eastAsia" w:ascii="仿宋_GB2312" w:eastAsia="仿宋_GB2312" w:hAnsiTheme="minorEastAsia" w:cstheme="minorEastAsia"/>
                <w:color w:val="auto"/>
                <w:kern w:val="0"/>
                <w:sz w:val="24"/>
                <w:szCs w:val="24"/>
              </w:rPr>
              <w:t>。每项扣3分。</w:t>
            </w:r>
            <w:r>
              <w:rPr>
                <w:rFonts w:ascii="仿宋_GB2312" w:eastAsia="仿宋_GB2312" w:hAnsiTheme="minorEastAsia" w:cstheme="minorEastAsia"/>
                <w:color w:val="auto"/>
                <w:kern w:val="0"/>
                <w:sz w:val="24"/>
                <w:szCs w:val="24"/>
              </w:rPr>
              <w:br w:type="textWrapping"/>
            </w:r>
            <w:r>
              <w:rPr>
                <w:rFonts w:hint="eastAsia" w:ascii="仿宋_GB2312" w:eastAsia="仿宋_GB2312" w:hAnsiTheme="minorEastAsia" w:cstheme="minorEastAsia"/>
                <w:color w:val="auto"/>
                <w:kern w:val="0"/>
                <w:sz w:val="24"/>
                <w:szCs w:val="24"/>
              </w:rPr>
              <w:t>2.</w:t>
            </w:r>
            <w:r>
              <w:rPr>
                <w:rFonts w:ascii="仿宋_GB2312" w:eastAsia="仿宋_GB2312" w:hAnsiTheme="minorEastAsia" w:cstheme="minorEastAsia"/>
                <w:color w:val="auto"/>
                <w:kern w:val="0"/>
                <w:sz w:val="24"/>
                <w:szCs w:val="24"/>
              </w:rPr>
              <w:t>未按约定时间到达评审现场或线上会议室，迟到时间超过15分钟</w:t>
            </w:r>
            <w:r>
              <w:rPr>
                <w:rFonts w:hint="eastAsia" w:ascii="仿宋_GB2312" w:eastAsia="仿宋_GB2312" w:hAnsiTheme="minorEastAsia" w:cstheme="minorEastAsia"/>
                <w:color w:val="auto"/>
                <w:kern w:val="0"/>
                <w:sz w:val="24"/>
                <w:szCs w:val="24"/>
              </w:rPr>
              <w:t>；或</w:t>
            </w:r>
            <w:r>
              <w:rPr>
                <w:rFonts w:ascii="仿宋_GB2312" w:eastAsia="仿宋_GB2312" w:hAnsiTheme="minorEastAsia" w:cstheme="minorEastAsia"/>
                <w:color w:val="auto"/>
                <w:kern w:val="0"/>
                <w:sz w:val="24"/>
                <w:szCs w:val="24"/>
              </w:rPr>
              <w:t>评审结束前无故擅离会场超过15分钟</w:t>
            </w:r>
            <w:r>
              <w:rPr>
                <w:rFonts w:hint="eastAsia" w:ascii="仿宋_GB2312" w:eastAsia="仿宋_GB2312" w:hAnsiTheme="minorEastAsia" w:cstheme="minorEastAsia"/>
                <w:color w:val="auto"/>
                <w:kern w:val="0"/>
                <w:sz w:val="24"/>
                <w:szCs w:val="24"/>
              </w:rPr>
              <w:t>。每项扣2分。</w:t>
            </w:r>
          </w:p>
          <w:p>
            <w:pPr>
              <w:pStyle w:val="2"/>
              <w:spacing w:line="320" w:lineRule="exact"/>
              <w:rPr>
                <w:rFonts w:hint="eastAsia" w:ascii="仿宋_GB2312" w:eastAsia="仿宋_GB2312" w:hAnsiTheme="minorEastAsia" w:cstheme="minorEastAsia"/>
                <w:color w:val="auto"/>
                <w:kern w:val="0"/>
                <w:sz w:val="24"/>
                <w:szCs w:val="24"/>
              </w:rPr>
            </w:pPr>
            <w:r>
              <w:rPr>
                <w:rFonts w:hint="eastAsia" w:ascii="仿宋_GB2312" w:eastAsia="仿宋_GB2312" w:hAnsiTheme="minorEastAsia" w:cstheme="minorEastAsia"/>
                <w:color w:val="auto"/>
                <w:kern w:val="0"/>
                <w:sz w:val="24"/>
                <w:szCs w:val="24"/>
              </w:rPr>
              <w:t>3.现场评审期间违规使用通讯工具，经提醒后仍不改正。每次扣2分。</w:t>
            </w:r>
          </w:p>
          <w:p>
            <w:pPr>
              <w:pStyle w:val="2"/>
              <w:spacing w:line="320" w:lineRule="exact"/>
              <w:rPr>
                <w:rFonts w:hint="eastAsia" w:ascii="仿宋_GB2312" w:eastAsia="仿宋_GB2312" w:hAnsiTheme="minorEastAsia" w:cstheme="minorEastAsia"/>
                <w:color w:val="auto"/>
                <w:kern w:val="0"/>
                <w:sz w:val="24"/>
                <w:szCs w:val="24"/>
              </w:rPr>
            </w:pPr>
            <w:r>
              <w:rPr>
                <w:rFonts w:hint="eastAsia" w:ascii="仿宋_GB2312" w:eastAsia="仿宋_GB2312" w:hAnsiTheme="minorEastAsia" w:cstheme="minorEastAsia"/>
                <w:color w:val="auto"/>
                <w:kern w:val="0"/>
                <w:sz w:val="24"/>
                <w:szCs w:val="24"/>
              </w:rPr>
              <w:t>4.未经批准，私自与项目单位（或相关方）交换意见、接受询问。每次扣5分。</w:t>
            </w:r>
          </w:p>
        </w:tc>
        <w:tc>
          <w:tcPr>
            <w:tcW w:w="1125"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hAnsi="宋体" w:eastAsia="仿宋_GB2312" w:cs="宋体"/>
                <w:color w:val="auto"/>
                <w:kern w:val="0"/>
                <w:sz w:val="24"/>
                <w:szCs w:val="24"/>
                <w:lang w:bidi="ar"/>
              </w:rPr>
            </w:pPr>
            <w:r>
              <w:rPr>
                <w:rFonts w:hint="eastAsia" w:ascii="仿宋_GB2312" w:hAnsi="宋体" w:eastAsia="仿宋_GB2312" w:cs="宋体"/>
                <w:color w:val="auto"/>
                <w:kern w:val="0"/>
                <w:sz w:val="24"/>
                <w:szCs w:val="24"/>
                <w:lang w:bidi="ar"/>
              </w:rPr>
              <w:t>20</w:t>
            </w:r>
          </w:p>
        </w:tc>
        <w:tc>
          <w:tcPr>
            <w:tcW w:w="1000"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1276"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lang w:bidi="ar"/>
              </w:rPr>
              <w:t>专业能力</w:t>
            </w:r>
          </w:p>
        </w:tc>
        <w:tc>
          <w:tcPr>
            <w:tcW w:w="5882" w:type="dxa"/>
            <w:tcBorders>
              <w:top w:val="single" w:color="auto" w:sz="4" w:space="0"/>
              <w:left w:val="single" w:color="auto" w:sz="4" w:space="0"/>
              <w:bottom w:val="single" w:color="auto" w:sz="4" w:space="0"/>
              <w:right w:val="single" w:color="auto" w:sz="4" w:space="0"/>
            </w:tcBorders>
            <w:vAlign w:val="center"/>
          </w:tcPr>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以下情况可累计扣分，扣完为止。</w:t>
            </w:r>
          </w:p>
          <w:p>
            <w:pPr>
              <w:pStyle w:val="2"/>
              <w:spacing w:line="320" w:lineRule="exact"/>
              <w:rPr>
                <w:rFonts w:ascii="仿宋_GB2312" w:eastAsia="仿宋_GB2312" w:hAnsiTheme="minorEastAsia" w:cstheme="minorEastAsia"/>
                <w:color w:val="auto"/>
                <w:kern w:val="0"/>
                <w:sz w:val="24"/>
                <w:szCs w:val="24"/>
              </w:rPr>
            </w:pPr>
            <w:r>
              <w:rPr>
                <w:rFonts w:ascii="仿宋_GB2312" w:eastAsia="仿宋_GB2312" w:hAnsiTheme="minorEastAsia" w:cstheme="minorEastAsia"/>
                <w:color w:val="auto"/>
                <w:kern w:val="0"/>
                <w:sz w:val="24"/>
                <w:szCs w:val="24"/>
                <w:lang w:bidi="ar"/>
              </w:rPr>
              <w:t>1.</w:t>
            </w:r>
            <w:r>
              <w:rPr>
                <w:rFonts w:hint="eastAsia" w:ascii="仿宋_GB2312" w:eastAsia="仿宋_GB2312" w:hAnsiTheme="minorEastAsia" w:cstheme="minorEastAsia"/>
                <w:color w:val="auto"/>
                <w:kern w:val="0"/>
                <w:sz w:val="24"/>
                <w:szCs w:val="24"/>
                <w:lang w:bidi="ar"/>
              </w:rPr>
              <w:t>缺乏全局视野：评审结论未能结合最新财政政策、区域产业发展规划或地方财政承受能力，脱离实际。每处扣5分</w:t>
            </w:r>
            <w:r>
              <w:rPr>
                <w:rFonts w:hint="eastAsia" w:ascii="仿宋_GB2312" w:eastAsia="仿宋_GB2312" w:hAnsiTheme="minorEastAsia" w:cstheme="minorEastAsia"/>
                <w:color w:val="auto"/>
                <w:kern w:val="0"/>
                <w:sz w:val="24"/>
                <w:szCs w:val="24"/>
              </w:rPr>
              <w:t>。</w:t>
            </w:r>
          </w:p>
          <w:p>
            <w:pPr>
              <w:pStyle w:val="2"/>
              <w:spacing w:line="320" w:lineRule="exact"/>
              <w:rPr>
                <w:rFonts w:hint="eastAsia" w:ascii="仿宋_GB2312" w:eastAsia="仿宋_GB2312" w:hAnsiTheme="minorEastAsia" w:cstheme="minorEastAsia"/>
                <w:color w:val="auto"/>
                <w:kern w:val="0"/>
                <w:sz w:val="24"/>
                <w:szCs w:val="24"/>
                <w:lang w:bidi="ar"/>
              </w:rPr>
            </w:pPr>
            <w:r>
              <w:rPr>
                <w:rFonts w:ascii="仿宋_GB2312" w:eastAsia="仿宋_GB2312" w:hAnsiTheme="minorEastAsia" w:cstheme="minorEastAsia"/>
                <w:color w:val="auto"/>
                <w:kern w:val="0"/>
                <w:sz w:val="24"/>
                <w:szCs w:val="24"/>
                <w:lang w:bidi="ar"/>
              </w:rPr>
              <w:t>2.系统与工具操作能力不足：不熟悉财政评审系统、数据分析工具，导致信息填报错误、数据遗漏或无法独立完成评审流程</w:t>
            </w:r>
            <w:r>
              <w:rPr>
                <w:rFonts w:hint="eastAsia" w:ascii="仿宋_GB2312" w:eastAsia="仿宋_GB2312" w:hAnsiTheme="minorEastAsia" w:cstheme="minorEastAsia"/>
                <w:color w:val="auto"/>
                <w:kern w:val="0"/>
                <w:sz w:val="24"/>
                <w:szCs w:val="24"/>
                <w:lang w:bidi="ar"/>
              </w:rPr>
              <w:t>。</w:t>
            </w:r>
            <w:r>
              <w:rPr>
                <w:rFonts w:ascii="仿宋_GB2312" w:eastAsia="仿宋_GB2312" w:hAnsiTheme="minorEastAsia" w:cstheme="minorEastAsia"/>
                <w:color w:val="auto"/>
                <w:kern w:val="0"/>
                <w:sz w:val="24"/>
                <w:szCs w:val="24"/>
                <w:lang w:bidi="ar"/>
              </w:rPr>
              <w:t>每次扣3分。</w:t>
            </w:r>
          </w:p>
          <w:p>
            <w:pPr>
              <w:pStyle w:val="2"/>
              <w:spacing w:line="320" w:lineRule="exact"/>
              <w:rPr>
                <w:rFonts w:hint="eastAsia" w:ascii="仿宋_GB2312" w:eastAsia="仿宋_GB2312" w:hAnsiTheme="minorEastAsia" w:cstheme="minorEastAsia"/>
                <w:color w:val="auto"/>
                <w:kern w:val="0"/>
                <w:sz w:val="24"/>
                <w:szCs w:val="24"/>
              </w:rPr>
            </w:pPr>
            <w:r>
              <w:rPr>
                <w:rFonts w:ascii="仿宋_GB2312" w:eastAsia="仿宋_GB2312" w:hAnsiTheme="minorEastAsia" w:cstheme="minorEastAsia"/>
                <w:color w:val="auto"/>
                <w:kern w:val="0"/>
                <w:sz w:val="24"/>
                <w:szCs w:val="24"/>
                <w:lang w:bidi="ar"/>
              </w:rPr>
              <w:t>3.学习与准备不足</w:t>
            </w:r>
            <w:r>
              <w:rPr>
                <w:rFonts w:hint="eastAsia" w:ascii="仿宋_GB2312" w:eastAsia="仿宋_GB2312" w:hAnsiTheme="minorEastAsia" w:cstheme="minorEastAsia"/>
                <w:color w:val="auto"/>
                <w:kern w:val="0"/>
                <w:sz w:val="24"/>
                <w:szCs w:val="24"/>
                <w:lang w:bidi="ar"/>
              </w:rPr>
              <w:t>：</w:t>
            </w:r>
            <w:r>
              <w:rPr>
                <w:rFonts w:ascii="仿宋_GB2312" w:eastAsia="仿宋_GB2312" w:hAnsiTheme="minorEastAsia" w:cstheme="minorEastAsia"/>
                <w:color w:val="auto"/>
                <w:kern w:val="0"/>
                <w:sz w:val="24"/>
                <w:szCs w:val="24"/>
                <w:lang w:bidi="ar"/>
              </w:rPr>
              <w:t>无故缺席财政部门组织的业务培训、专项研讨；或在评审中表现出对新政策、新标准明显</w:t>
            </w:r>
            <w:r>
              <w:rPr>
                <w:rFonts w:hint="eastAsia" w:ascii="仿宋_GB2312" w:eastAsia="仿宋_GB2312" w:hAnsiTheme="minorEastAsia" w:cstheme="minorEastAsia"/>
                <w:color w:val="auto"/>
                <w:kern w:val="0"/>
                <w:sz w:val="24"/>
                <w:szCs w:val="24"/>
                <w:lang w:bidi="ar"/>
              </w:rPr>
              <w:t>不了解。</w:t>
            </w:r>
            <w:r>
              <w:rPr>
                <w:rFonts w:ascii="仿宋_GB2312" w:eastAsia="仿宋_GB2312" w:hAnsiTheme="minorEastAsia" w:cstheme="minorEastAsia"/>
                <w:color w:val="auto"/>
                <w:kern w:val="0"/>
                <w:sz w:val="24"/>
                <w:szCs w:val="24"/>
                <w:lang w:bidi="ar"/>
              </w:rPr>
              <w:t>每次扣3分。</w:t>
            </w:r>
          </w:p>
        </w:tc>
        <w:tc>
          <w:tcPr>
            <w:tcW w:w="1125"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hAnsi="宋体" w:eastAsia="仿宋_GB2312" w:cs="宋体"/>
                <w:color w:val="auto"/>
                <w:kern w:val="0"/>
                <w:sz w:val="24"/>
                <w:szCs w:val="24"/>
                <w:lang w:bidi="ar"/>
              </w:rPr>
            </w:pPr>
            <w:r>
              <w:rPr>
                <w:rFonts w:hint="eastAsia" w:ascii="仿宋_GB2312" w:hAnsi="宋体" w:eastAsia="仿宋_GB2312" w:cs="宋体"/>
                <w:color w:val="auto"/>
                <w:kern w:val="0"/>
                <w:sz w:val="24"/>
                <w:szCs w:val="24"/>
                <w:lang w:bidi="ar"/>
              </w:rPr>
              <w:t>20</w:t>
            </w:r>
          </w:p>
        </w:tc>
        <w:tc>
          <w:tcPr>
            <w:tcW w:w="1000"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1276"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lang w:bidi="ar"/>
              </w:rPr>
              <w:t>协同效率</w:t>
            </w:r>
          </w:p>
        </w:tc>
        <w:tc>
          <w:tcPr>
            <w:tcW w:w="5882" w:type="dxa"/>
            <w:tcBorders>
              <w:top w:val="single" w:color="auto" w:sz="4" w:space="0"/>
              <w:left w:val="single" w:color="auto" w:sz="4" w:space="0"/>
              <w:bottom w:val="single" w:color="auto" w:sz="4" w:space="0"/>
              <w:right w:val="single" w:color="auto" w:sz="4" w:space="0"/>
            </w:tcBorders>
            <w:vAlign w:val="center"/>
          </w:tcPr>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以下情况可累计扣分，扣完为止。</w:t>
            </w:r>
          </w:p>
          <w:p>
            <w:pPr>
              <w:pStyle w:val="2"/>
              <w:spacing w:line="320" w:lineRule="exact"/>
              <w:rPr>
                <w:rFonts w:hint="eastAsia" w:ascii="仿宋_GB2312" w:eastAsia="仿宋_GB2312" w:hAnsiTheme="minorEastAsia" w:cstheme="minorEastAsia"/>
                <w:color w:val="auto"/>
                <w:kern w:val="0"/>
                <w:sz w:val="24"/>
                <w:szCs w:val="24"/>
              </w:rPr>
            </w:pPr>
            <w:r>
              <w:rPr>
                <w:rFonts w:ascii="仿宋_GB2312" w:eastAsia="仿宋_GB2312" w:hAnsiTheme="minorEastAsia" w:cstheme="minorEastAsia"/>
                <w:color w:val="auto"/>
                <w:kern w:val="0"/>
                <w:sz w:val="24"/>
                <w:szCs w:val="24"/>
                <w:lang w:bidi="ar"/>
              </w:rPr>
              <w:t>1.反馈延迟：对财政部门或相关机构要求补充、修改的审核意见，未在2个工作日内完成且无正当理由</w:t>
            </w:r>
            <w:r>
              <w:rPr>
                <w:rFonts w:hint="eastAsia" w:ascii="仿宋_GB2312" w:eastAsia="仿宋_GB2312" w:hAnsiTheme="minorEastAsia" w:cstheme="minorEastAsia"/>
                <w:color w:val="auto"/>
                <w:kern w:val="0"/>
                <w:sz w:val="24"/>
                <w:szCs w:val="24"/>
                <w:lang w:bidi="ar"/>
              </w:rPr>
              <w:t>。</w:t>
            </w:r>
            <w:r>
              <w:rPr>
                <w:rFonts w:ascii="仿宋_GB2312" w:eastAsia="仿宋_GB2312" w:hAnsiTheme="minorEastAsia" w:cstheme="minorEastAsia"/>
                <w:color w:val="auto"/>
                <w:kern w:val="0"/>
                <w:sz w:val="24"/>
                <w:szCs w:val="24"/>
                <w:lang w:bidi="ar"/>
              </w:rPr>
              <w:t>每次扣3分。</w:t>
            </w:r>
            <w:r>
              <w:rPr>
                <w:rFonts w:ascii="仿宋_GB2312" w:eastAsia="仿宋_GB2312" w:hAnsiTheme="minorEastAsia" w:cstheme="minorEastAsia"/>
                <w:color w:val="auto"/>
                <w:kern w:val="0"/>
                <w:sz w:val="24"/>
                <w:szCs w:val="24"/>
                <w:lang w:bidi="ar"/>
              </w:rPr>
              <w:br w:type="textWrapping"/>
            </w:r>
            <w:r>
              <w:rPr>
                <w:rFonts w:ascii="仿宋_GB2312" w:eastAsia="仿宋_GB2312" w:hAnsiTheme="minorEastAsia" w:cstheme="minorEastAsia"/>
                <w:color w:val="auto"/>
                <w:kern w:val="0"/>
                <w:sz w:val="24"/>
                <w:szCs w:val="24"/>
                <w:lang w:bidi="ar"/>
              </w:rPr>
              <w:t>2.回应敷衍：对协作机构或项目单位的必要疑问，未在2个工作日内回复，或回复内容模糊、避重就轻</w:t>
            </w:r>
            <w:r>
              <w:rPr>
                <w:rFonts w:hint="eastAsia" w:ascii="仿宋_GB2312" w:eastAsia="仿宋_GB2312" w:hAnsiTheme="minorEastAsia" w:cstheme="minorEastAsia"/>
                <w:color w:val="auto"/>
                <w:kern w:val="0"/>
                <w:sz w:val="24"/>
                <w:szCs w:val="24"/>
                <w:lang w:bidi="ar"/>
              </w:rPr>
              <w:t>。</w:t>
            </w:r>
            <w:r>
              <w:rPr>
                <w:rFonts w:ascii="仿宋_GB2312" w:eastAsia="仿宋_GB2312" w:hAnsiTheme="minorEastAsia" w:cstheme="minorEastAsia"/>
                <w:color w:val="auto"/>
                <w:kern w:val="0"/>
                <w:sz w:val="24"/>
                <w:szCs w:val="24"/>
                <w:lang w:bidi="ar"/>
              </w:rPr>
              <w:t>每次扣3分。</w:t>
            </w:r>
            <w:r>
              <w:rPr>
                <w:rFonts w:ascii="仿宋_GB2312" w:eastAsia="仿宋_GB2312" w:hAnsiTheme="minorEastAsia" w:cstheme="minorEastAsia"/>
                <w:color w:val="auto"/>
                <w:kern w:val="0"/>
                <w:sz w:val="24"/>
                <w:szCs w:val="24"/>
                <w:lang w:bidi="ar"/>
              </w:rPr>
              <w:br w:type="textWrapping"/>
            </w:r>
            <w:r>
              <w:rPr>
                <w:rFonts w:ascii="仿宋_GB2312" w:eastAsia="仿宋_GB2312" w:hAnsiTheme="minorEastAsia" w:cstheme="minorEastAsia"/>
                <w:color w:val="auto"/>
                <w:kern w:val="0"/>
                <w:sz w:val="24"/>
                <w:szCs w:val="24"/>
                <w:lang w:bidi="ar"/>
              </w:rPr>
              <w:t>3.沟通</w:t>
            </w:r>
            <w:r>
              <w:rPr>
                <w:rFonts w:hint="eastAsia" w:ascii="仿宋_GB2312" w:eastAsia="仿宋_GB2312" w:hAnsiTheme="minorEastAsia" w:cstheme="minorEastAsia"/>
                <w:color w:val="auto"/>
                <w:kern w:val="0"/>
                <w:sz w:val="24"/>
                <w:szCs w:val="24"/>
                <w:lang w:bidi="ar"/>
              </w:rPr>
              <w:t>态度</w:t>
            </w:r>
            <w:r>
              <w:rPr>
                <w:rFonts w:ascii="仿宋_GB2312" w:eastAsia="仿宋_GB2312" w:hAnsiTheme="minorEastAsia" w:cstheme="minorEastAsia"/>
                <w:color w:val="auto"/>
                <w:kern w:val="0"/>
                <w:sz w:val="24"/>
                <w:szCs w:val="24"/>
                <w:lang w:bidi="ar"/>
              </w:rPr>
              <w:t>：因沟通方式不当、态度不专业或表达不清，导致项目流程受阻或延误</w:t>
            </w:r>
            <w:r>
              <w:rPr>
                <w:rFonts w:hint="eastAsia" w:ascii="仿宋_GB2312" w:eastAsia="仿宋_GB2312" w:hAnsiTheme="minorEastAsia" w:cstheme="minorEastAsia"/>
                <w:color w:val="auto"/>
                <w:kern w:val="0"/>
                <w:sz w:val="24"/>
                <w:szCs w:val="24"/>
                <w:lang w:bidi="ar"/>
              </w:rPr>
              <w:t>。</w:t>
            </w:r>
            <w:r>
              <w:rPr>
                <w:rFonts w:ascii="仿宋_GB2312" w:eastAsia="仿宋_GB2312" w:hAnsiTheme="minorEastAsia" w:cstheme="minorEastAsia"/>
                <w:color w:val="auto"/>
                <w:kern w:val="0"/>
                <w:sz w:val="24"/>
                <w:szCs w:val="24"/>
                <w:lang w:bidi="ar"/>
              </w:rPr>
              <w:t>每次扣3分。</w:t>
            </w:r>
            <w:r>
              <w:rPr>
                <w:rFonts w:ascii="仿宋_GB2312" w:eastAsia="仿宋_GB2312" w:hAnsiTheme="minorEastAsia" w:cstheme="minorEastAsia"/>
                <w:color w:val="auto"/>
                <w:kern w:val="0"/>
                <w:sz w:val="24"/>
                <w:szCs w:val="24"/>
                <w:lang w:bidi="ar"/>
              </w:rPr>
              <w:br w:type="textWrapping"/>
            </w:r>
            <w:r>
              <w:rPr>
                <w:rFonts w:ascii="仿宋_GB2312" w:eastAsia="仿宋_GB2312" w:hAnsiTheme="minorEastAsia" w:cstheme="minorEastAsia"/>
                <w:color w:val="auto"/>
                <w:kern w:val="0"/>
                <w:sz w:val="24"/>
                <w:szCs w:val="24"/>
                <w:lang w:bidi="ar"/>
              </w:rPr>
              <w:t>4.超期交付：未在规定时限内提交书面专家评审意见，每超过1天</w:t>
            </w:r>
            <w:r>
              <w:rPr>
                <w:rFonts w:hint="eastAsia" w:ascii="仿宋_GB2312" w:eastAsia="仿宋_GB2312" w:hAnsiTheme="minorEastAsia" w:cstheme="minorEastAsia"/>
                <w:color w:val="auto"/>
                <w:kern w:val="0"/>
                <w:sz w:val="24"/>
                <w:szCs w:val="24"/>
                <w:lang w:bidi="ar"/>
              </w:rPr>
              <w:t>，</w:t>
            </w:r>
            <w:r>
              <w:rPr>
                <w:rFonts w:ascii="仿宋_GB2312" w:eastAsia="仿宋_GB2312" w:hAnsiTheme="minorEastAsia" w:cstheme="minorEastAsia"/>
                <w:color w:val="auto"/>
                <w:kern w:val="0"/>
                <w:sz w:val="24"/>
                <w:szCs w:val="24"/>
                <w:lang w:bidi="ar"/>
              </w:rPr>
              <w:t>扣2分。</w:t>
            </w:r>
          </w:p>
        </w:tc>
        <w:tc>
          <w:tcPr>
            <w:tcW w:w="1125"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hAnsi="宋体" w:eastAsia="仿宋_GB2312" w:cs="宋体"/>
                <w:color w:val="auto"/>
                <w:kern w:val="0"/>
                <w:sz w:val="24"/>
                <w:szCs w:val="24"/>
                <w:lang w:bidi="ar"/>
              </w:rPr>
            </w:pPr>
            <w:r>
              <w:rPr>
                <w:rFonts w:hint="eastAsia" w:ascii="仿宋_GB2312" w:hAnsi="宋体" w:eastAsia="仿宋_GB2312" w:cs="宋体"/>
                <w:color w:val="auto"/>
                <w:kern w:val="0"/>
                <w:sz w:val="24"/>
                <w:szCs w:val="24"/>
                <w:lang w:bidi="ar"/>
              </w:rPr>
              <w:t>20</w:t>
            </w:r>
          </w:p>
        </w:tc>
        <w:tc>
          <w:tcPr>
            <w:tcW w:w="1000"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1276"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lang w:bidi="ar"/>
              </w:rPr>
              <w:t>评审质量</w:t>
            </w:r>
          </w:p>
        </w:tc>
        <w:tc>
          <w:tcPr>
            <w:tcW w:w="5882" w:type="dxa"/>
            <w:tcBorders>
              <w:top w:val="single" w:color="auto" w:sz="4" w:space="0"/>
              <w:left w:val="single" w:color="auto" w:sz="4" w:space="0"/>
              <w:bottom w:val="single" w:color="auto" w:sz="4" w:space="0"/>
              <w:right w:val="single" w:color="auto" w:sz="4" w:space="0"/>
            </w:tcBorders>
            <w:vAlign w:val="center"/>
          </w:tcPr>
          <w:p>
            <w:pPr>
              <w:pStyle w:val="2"/>
              <w:spacing w:line="320" w:lineRule="exact"/>
              <w:rPr>
                <w:rFonts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通过“基础分减扣”综合评定。</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1.逻辑论证与依据（基础分10分）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 评审意见逻辑混乱，论点与数据支撑明显脱节（每处扣2分）。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 结论与事实或前期资料存在明显冲突，且未做合理解释（每处扣2分）。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2.依据准确性（基础分10分）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 引用的政策文件文号错误、废止未更新或直接引用旧标准（每处扣3分）。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 数据分析、造价计算出现重大核算失误（每处扣3分）。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3.建议的可操作性（基础分10分）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 提出的调整建议笼统空泛，缺乏具体的改进路径（每处扣2分）。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 建议措施与项目实际条件严重不符，不具备落地可行性（每处扣3分）。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4.</w:t>
            </w:r>
            <w:bookmarkStart w:id="2" w:name="_GoBack"/>
            <w:bookmarkEnd w:id="2"/>
            <w:r>
              <w:rPr>
                <w:rFonts w:hint="eastAsia" w:ascii="仿宋_GB2312" w:eastAsia="仿宋_GB2312" w:hAnsiTheme="minorEastAsia" w:cstheme="minorEastAsia"/>
                <w:color w:val="auto"/>
                <w:kern w:val="0"/>
                <w:sz w:val="24"/>
                <w:szCs w:val="24"/>
                <w:lang w:bidi="ar"/>
              </w:rPr>
              <w:t>文书规范性（基础分10分）</w:t>
            </w:r>
          </w:p>
          <w:p>
            <w:pPr>
              <w:pStyle w:val="2"/>
              <w:spacing w:line="320" w:lineRule="exact"/>
              <w:rPr>
                <w:rFonts w:hint="eastAsia" w:ascii="仿宋_GB2312" w:eastAsia="仿宋_GB2312" w:hAnsiTheme="minorEastAsia" w:cstheme="minorEastAsia"/>
                <w:color w:val="auto"/>
                <w:kern w:val="0"/>
                <w:sz w:val="24"/>
                <w:szCs w:val="24"/>
                <w:lang w:bidi="ar"/>
              </w:rPr>
            </w:pPr>
            <w:r>
              <w:rPr>
                <w:rFonts w:hint="eastAsia" w:ascii="仿宋_GB2312" w:eastAsia="仿宋_GB2312" w:hAnsiTheme="minorEastAsia" w:cstheme="minorEastAsia"/>
                <w:color w:val="auto"/>
                <w:kern w:val="0"/>
                <w:sz w:val="24"/>
                <w:szCs w:val="24"/>
                <w:lang w:bidi="ar"/>
              </w:rPr>
              <w:t>- 字面表述存在明显错别字、语病或标点错误，严重影响阅读（每处扣1分）。</w:t>
            </w:r>
          </w:p>
          <w:p>
            <w:pPr>
              <w:pStyle w:val="2"/>
              <w:spacing w:line="320" w:lineRule="exact"/>
              <w:rPr>
                <w:rFonts w:hint="eastAsia" w:ascii="仿宋_GB2312" w:eastAsia="仿宋_GB2312" w:hAnsiTheme="minorEastAsia" w:cstheme="minorEastAsia"/>
                <w:color w:val="auto"/>
                <w:kern w:val="0"/>
                <w:sz w:val="24"/>
                <w:szCs w:val="24"/>
              </w:rPr>
            </w:pPr>
            <w:r>
              <w:rPr>
                <w:rFonts w:hint="eastAsia" w:ascii="仿宋_GB2312" w:eastAsia="仿宋_GB2312" w:hAnsiTheme="minorEastAsia" w:cstheme="minorEastAsia"/>
                <w:color w:val="auto"/>
                <w:kern w:val="0"/>
                <w:sz w:val="24"/>
                <w:szCs w:val="24"/>
                <w:lang w:bidi="ar"/>
              </w:rPr>
              <w:t>- 未按照既定的报告格式撰写，遗漏必要章节或结论（每处扣2分）。</w:t>
            </w:r>
          </w:p>
        </w:tc>
        <w:tc>
          <w:tcPr>
            <w:tcW w:w="1125"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hAnsi="宋体" w:eastAsia="仿宋_GB2312" w:cs="宋体"/>
                <w:color w:val="auto"/>
                <w:kern w:val="0"/>
                <w:sz w:val="24"/>
                <w:szCs w:val="24"/>
                <w:lang w:bidi="ar"/>
              </w:rPr>
            </w:pPr>
            <w:r>
              <w:rPr>
                <w:rFonts w:hint="eastAsia" w:ascii="仿宋_GB2312" w:hAnsi="宋体" w:eastAsia="仿宋_GB2312" w:cs="宋体"/>
                <w:color w:val="auto"/>
                <w:kern w:val="0"/>
                <w:sz w:val="24"/>
                <w:szCs w:val="24"/>
                <w:lang w:bidi="ar"/>
              </w:rPr>
              <w:t>40</w:t>
            </w:r>
          </w:p>
        </w:tc>
        <w:tc>
          <w:tcPr>
            <w:tcW w:w="1000"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7158" w:type="dxa"/>
            <w:gridSpan w:val="2"/>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lang w:bidi="ar"/>
              </w:rPr>
              <w:t>总   分</w:t>
            </w:r>
          </w:p>
        </w:tc>
        <w:tc>
          <w:tcPr>
            <w:tcW w:w="1125" w:type="dxa"/>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宋体" w:hAnsi="宋体" w:cs="宋体"/>
                <w:color w:val="auto"/>
                <w:kern w:val="0"/>
                <w:sz w:val="22"/>
                <w:lang w:bidi="ar"/>
              </w:rPr>
            </w:pPr>
            <w:r>
              <w:rPr>
                <w:rFonts w:hint="eastAsia" w:ascii="宋体" w:hAnsi="宋体" w:cs="宋体"/>
                <w:color w:val="auto"/>
                <w:kern w:val="0"/>
                <w:sz w:val="22"/>
                <w:lang w:bidi="ar"/>
              </w:rPr>
              <w:t>100</w:t>
            </w:r>
          </w:p>
        </w:tc>
        <w:tc>
          <w:tcPr>
            <w:tcW w:w="1000" w:type="dxa"/>
            <w:tcBorders>
              <w:top w:val="single" w:color="auto" w:sz="4" w:space="0"/>
              <w:left w:val="single" w:color="auto" w:sz="4" w:space="0"/>
              <w:bottom w:val="single" w:color="auto" w:sz="4" w:space="0"/>
              <w:right w:val="single" w:color="auto" w:sz="4" w:space="0"/>
            </w:tcBorders>
            <w:vAlign w:val="center"/>
          </w:tcPr>
          <w:p>
            <w:pPr>
              <w:pStyle w:val="2"/>
              <w:jc w:val="center"/>
              <w:rPr>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trPr>
        <w:tc>
          <w:tcPr>
            <w:tcW w:w="7158" w:type="dxa"/>
            <w:gridSpan w:val="2"/>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_GB2312" w:eastAsia="仿宋_GB2312"/>
                <w:b/>
                <w:bCs/>
                <w:color w:val="auto"/>
                <w:kern w:val="0"/>
                <w:sz w:val="24"/>
                <w:szCs w:val="24"/>
              </w:rPr>
            </w:pPr>
            <w:r>
              <w:rPr>
                <w:rFonts w:hint="eastAsia" w:ascii="仿宋_GB2312" w:hAnsi="宋体" w:eastAsia="仿宋_GB2312" w:cs="宋体"/>
                <w:b/>
                <w:bCs/>
                <w:color w:val="auto"/>
                <w:kern w:val="0"/>
                <w:sz w:val="24"/>
                <w:szCs w:val="24"/>
              </w:rPr>
              <w:t>出现本办法第二十七条规定情形“一票否决”情况</w:t>
            </w:r>
          </w:p>
        </w:tc>
        <w:tc>
          <w:tcPr>
            <w:tcW w:w="2125" w:type="dxa"/>
            <w:gridSpan w:val="2"/>
            <w:tcBorders>
              <w:top w:val="single" w:color="auto" w:sz="4" w:space="0"/>
              <w:left w:val="single" w:color="auto" w:sz="4" w:space="0"/>
              <w:bottom w:val="single" w:color="auto" w:sz="4" w:space="0"/>
              <w:right w:val="single" w:color="auto" w:sz="4" w:space="0"/>
            </w:tcBorders>
            <w:vAlign w:val="center"/>
          </w:tcPr>
          <w:p>
            <w:pPr>
              <w:pStyle w:val="2"/>
              <w:jc w:val="center"/>
              <w:rPr>
                <w:color w:val="auto"/>
                <w:kern w:val="0"/>
              </w:rPr>
            </w:pPr>
          </w:p>
        </w:tc>
      </w:tr>
    </w:tbl>
    <w:p>
      <w:pPr>
        <w:pStyle w:val="2"/>
        <w:rPr>
          <w:rFonts w:hint="eastAsia"/>
          <w:color w:val="auto"/>
        </w:rPr>
      </w:pPr>
    </w:p>
    <w:sectPr>
      <w:pgSz w:w="11906" w:h="16838"/>
      <w:pgMar w:top="2041" w:right="1418" w:bottom="1588" w:left="1588" w:header="851" w:footer="992" w:gutter="0"/>
      <w:pgNumType w:fmt="numberInDash" w:start="1"/>
      <w:cols w:space="720" w:num="1"/>
      <w:docGrid w:type="linesAndChars" w:linePitch="569" w:charSpace="-17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楷体_GBK">
    <w:altName w:val="微软雅黑"/>
    <w:panose1 w:val="03000509000000000000"/>
    <w:charset w:val="86"/>
    <w:family w:val="script"/>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-74295</wp:posOffset>
              </wp:positionV>
              <wp:extent cx="445135" cy="230505"/>
              <wp:effectExtent l="0" t="1905"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12"/>
                            <w:jc w:val="center"/>
                            <w:rPr>
                              <w:rFonts w:hint="eastAsia"/>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4</w:t>
                          </w:r>
                          <w:r>
                            <w:rPr>
                              <w:rFonts w:hint="eastAsia" w:ascii="宋体" w:hAnsi="宋体" w:cs="宋体"/>
                              <w:sz w:val="28"/>
                              <w:szCs w:val="28"/>
                              <w:lang w:val="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5.85pt;height:18.15pt;width:35.05pt;mso-position-horizontal:outside;mso-position-horizontal-relative:margin;mso-wrap-style:none;z-index:251659264;mso-width-relative:page;mso-height-relative:page;" filled="f" stroked="f" coordsize="21600,21600" o:gfxdata="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gIvS/T&#10;AAAABgEAAA8AAAAAAAAAAQAgAAAAIgAAAGRycy9kb3ducmV2LnhtbFBLAQIUABQAAAAIAIdO4kC8&#10;ENuZ7AEAALQDAAAOAAAAAAAAAAEAIAAAACIBAABkcnMvZTJvRG9jLnhtbFBLBQYAAAAABgAGAFkB&#10;AACABQAAAAA=&#10;">
              <v:fill on="f" focussize="0,0"/>
              <v:stroke on="f"/>
              <v:imagedata o:title=""/>
              <o:lock v:ext="edit" aspectratio="f"/>
              <v:textbox inset="0mm,0mm,0mm,0mm" style="mso-fit-shape-to-text:t;">
                <w:txbxContent>
                  <w:p>
                    <w:pPr>
                      <w:pStyle w:val="12"/>
                      <w:jc w:val="center"/>
                      <w:rPr>
                        <w:rFonts w:hint="eastAsia"/>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4</w:t>
                    </w:r>
                    <w:r>
                      <w:rPr>
                        <w:rFonts w:hint="eastAsia" w:ascii="宋体" w:hAnsi="宋体" w:cs="宋体"/>
                        <w:sz w:val="28"/>
                        <w:szCs w:val="28"/>
                        <w:lang w:val="zh-CN"/>
                      </w:rPr>
                      <w:fldChar w:fldCharType="end"/>
                    </w:r>
                  </w:p>
                </w:txbxContent>
              </v:textbox>
            </v:shape>
          </w:pict>
        </mc:Fallback>
      </mc:AlternateContent>
    </w:r>
  </w:p>
  <w:p>
    <w:pPr>
      <w:pStyle w:val="1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mSwMQAgAABwQAAA4AAABkcnMvZTJvRG9jLnhtbK1TzY7TMBC+I/EO&#10;lu80aRGrbt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8JksDEAIAAAcEAAAOAAAAAAAAAAEAIAAA&#10;AB8BAABkcnMvZTJvRG9jLnhtbFBLBQYAAAAABgAGAFkBAAChBQAAAAA=&#10;">
              <v:fill on="f" focussize="0,0"/>
              <v:stroke on="f" weight="0.5pt"/>
              <v:imagedata o:title=""/>
              <o:lock v:ext="edit" aspectratio="f"/>
              <v:textbox inset="0mm,0mm,0mm,0mm" style="mso-fit-shape-to-text:t;">
                <w:txbxContent>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1"/>
  <w:drawingGridVerticalSpacing w:val="56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2BF"/>
    <w:rsid w:val="00084D94"/>
    <w:rsid w:val="00126526"/>
    <w:rsid w:val="00133FB5"/>
    <w:rsid w:val="001473CC"/>
    <w:rsid w:val="001814C0"/>
    <w:rsid w:val="00190310"/>
    <w:rsid w:val="001A24D0"/>
    <w:rsid w:val="001B1327"/>
    <w:rsid w:val="002B2B4E"/>
    <w:rsid w:val="002B4877"/>
    <w:rsid w:val="002B7CBE"/>
    <w:rsid w:val="00313AF7"/>
    <w:rsid w:val="00316047"/>
    <w:rsid w:val="0033526B"/>
    <w:rsid w:val="003552ED"/>
    <w:rsid w:val="00363081"/>
    <w:rsid w:val="003A291C"/>
    <w:rsid w:val="003D4D9D"/>
    <w:rsid w:val="00431C0A"/>
    <w:rsid w:val="00433BA6"/>
    <w:rsid w:val="004E22BF"/>
    <w:rsid w:val="004F2589"/>
    <w:rsid w:val="00514661"/>
    <w:rsid w:val="00522627"/>
    <w:rsid w:val="00531002"/>
    <w:rsid w:val="00544FAA"/>
    <w:rsid w:val="00577B53"/>
    <w:rsid w:val="00596463"/>
    <w:rsid w:val="005E5B70"/>
    <w:rsid w:val="00663343"/>
    <w:rsid w:val="0066340D"/>
    <w:rsid w:val="00670ADB"/>
    <w:rsid w:val="00683098"/>
    <w:rsid w:val="006A1ACA"/>
    <w:rsid w:val="006D214A"/>
    <w:rsid w:val="006D4AA3"/>
    <w:rsid w:val="00704229"/>
    <w:rsid w:val="00742465"/>
    <w:rsid w:val="00763A13"/>
    <w:rsid w:val="0085070F"/>
    <w:rsid w:val="00915E63"/>
    <w:rsid w:val="00917C16"/>
    <w:rsid w:val="00921EF7"/>
    <w:rsid w:val="009270C1"/>
    <w:rsid w:val="00934288"/>
    <w:rsid w:val="009439EB"/>
    <w:rsid w:val="009B290F"/>
    <w:rsid w:val="00A90D87"/>
    <w:rsid w:val="00AD319E"/>
    <w:rsid w:val="00B51959"/>
    <w:rsid w:val="00B77283"/>
    <w:rsid w:val="00BB0266"/>
    <w:rsid w:val="00BE5FF8"/>
    <w:rsid w:val="00C079EE"/>
    <w:rsid w:val="00C22287"/>
    <w:rsid w:val="00C84409"/>
    <w:rsid w:val="00CD5C5A"/>
    <w:rsid w:val="00D37A1D"/>
    <w:rsid w:val="00D44A63"/>
    <w:rsid w:val="00D533FC"/>
    <w:rsid w:val="00D60DFB"/>
    <w:rsid w:val="00D72495"/>
    <w:rsid w:val="00DB3027"/>
    <w:rsid w:val="00DD2BFD"/>
    <w:rsid w:val="00E02D85"/>
    <w:rsid w:val="00E05230"/>
    <w:rsid w:val="00E919A2"/>
    <w:rsid w:val="00EA2759"/>
    <w:rsid w:val="00EB0F65"/>
    <w:rsid w:val="00EB2BE5"/>
    <w:rsid w:val="00EB5458"/>
    <w:rsid w:val="00EC1003"/>
    <w:rsid w:val="00EF0DAF"/>
    <w:rsid w:val="00F053F5"/>
    <w:rsid w:val="0E832A58"/>
    <w:rsid w:val="1B1911D1"/>
    <w:rsid w:val="1F615EBB"/>
    <w:rsid w:val="3B871BAE"/>
    <w:rsid w:val="49127D13"/>
    <w:rsid w:val="635942C4"/>
    <w:rsid w:val="6E855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Calibri" w:hAnsi="Calibri" w:eastAsia="宋体" w:cs="Times New Roman"/>
      <w:kern w:val="2"/>
      <w:sz w:val="21"/>
      <w:szCs w:val="22"/>
      <w:lang w:val="en-US" w:eastAsia="zh-CN" w:bidi="ar-SA"/>
      <w14:ligatures w14:val="none"/>
    </w:rPr>
  </w:style>
  <w:style w:type="paragraph" w:styleId="3">
    <w:name w:val="heading 1"/>
    <w:basedOn w:val="1"/>
    <w:next w:val="1"/>
    <w:link w:val="19"/>
    <w:qFormat/>
    <w:uiPriority w:val="9"/>
    <w:pPr>
      <w:keepNext/>
      <w:keepLines/>
      <w:spacing w:before="480" w:after="80" w:line="278" w:lineRule="auto"/>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4">
    <w:name w:val="heading 2"/>
    <w:basedOn w:val="1"/>
    <w:next w:val="1"/>
    <w:link w:val="20"/>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5">
    <w:name w:val="heading 3"/>
    <w:basedOn w:val="1"/>
    <w:next w:val="1"/>
    <w:link w:val="21"/>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6">
    <w:name w:val="heading 4"/>
    <w:basedOn w:val="1"/>
    <w:next w:val="1"/>
    <w:link w:val="22"/>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7">
    <w:name w:val="heading 5"/>
    <w:basedOn w:val="1"/>
    <w:next w:val="1"/>
    <w:link w:val="23"/>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104862" w:themeColor="accent1" w:themeShade="BF"/>
      <w:sz w:val="24"/>
      <w:szCs w:val="24"/>
      <w14:ligatures w14:val="standardContextual"/>
    </w:rPr>
  </w:style>
  <w:style w:type="paragraph" w:styleId="8">
    <w:name w:val="heading 6"/>
    <w:basedOn w:val="1"/>
    <w:next w:val="1"/>
    <w:link w:val="24"/>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104862" w:themeColor="accent1" w:themeShade="BF"/>
      <w:sz w:val="22"/>
      <w:szCs w:val="24"/>
      <w14:ligatures w14:val="standardContextual"/>
    </w:rPr>
  </w:style>
  <w:style w:type="paragraph" w:styleId="9">
    <w:name w:val="heading 7"/>
    <w:basedOn w:val="1"/>
    <w:next w:val="1"/>
    <w:link w:val="25"/>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8"/>
    <w:basedOn w:val="1"/>
    <w:next w:val="1"/>
    <w:link w:val="26"/>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1">
    <w:name w:val="heading 9"/>
    <w:basedOn w:val="1"/>
    <w:next w:val="1"/>
    <w:link w:val="27"/>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6">
    <w:name w:val="Default Paragraph Font"/>
    <w:unhideWhenUsed/>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2">
    <w:name w:val="footnote text"/>
    <w:basedOn w:val="1"/>
    <w:link w:val="40"/>
    <w:qFormat/>
    <w:uiPriority w:val="0"/>
    <w:pPr>
      <w:snapToGrid w:val="0"/>
      <w:jc w:val="left"/>
    </w:pPr>
    <w:rPr>
      <w:sz w:val="18"/>
    </w:rPr>
  </w:style>
  <w:style w:type="paragraph" w:styleId="12">
    <w:name w:val="footer"/>
    <w:basedOn w:val="1"/>
    <w:link w:val="38"/>
    <w:unhideWhenUsed/>
    <w:qFormat/>
    <w:uiPriority w:val="0"/>
    <w:pPr>
      <w:tabs>
        <w:tab w:val="center" w:pos="4153"/>
        <w:tab w:val="right" w:pos="8306"/>
      </w:tabs>
      <w:snapToGrid w:val="0"/>
      <w:spacing w:after="160"/>
      <w:jc w:val="left"/>
    </w:pPr>
    <w:rPr>
      <w:rFonts w:asciiTheme="minorHAnsi" w:hAnsiTheme="minorHAnsi" w:eastAsiaTheme="minorEastAsia" w:cstheme="minorBidi"/>
      <w:sz w:val="18"/>
      <w:szCs w:val="18"/>
      <w14:ligatures w14:val="standardContextual"/>
    </w:rPr>
  </w:style>
  <w:style w:type="paragraph" w:styleId="13">
    <w:name w:val="header"/>
    <w:basedOn w:val="1"/>
    <w:link w:val="37"/>
    <w:unhideWhenUsed/>
    <w:qFormat/>
    <w:uiPriority w:val="99"/>
    <w:pPr>
      <w:tabs>
        <w:tab w:val="center" w:pos="4153"/>
        <w:tab w:val="right" w:pos="8306"/>
      </w:tabs>
      <w:snapToGrid w:val="0"/>
      <w:spacing w:after="160"/>
      <w:jc w:val="center"/>
    </w:pPr>
    <w:rPr>
      <w:rFonts w:asciiTheme="minorHAnsi" w:hAnsiTheme="minorHAnsi" w:eastAsiaTheme="minorEastAsia" w:cstheme="minorBidi"/>
      <w:sz w:val="18"/>
      <w:szCs w:val="18"/>
      <w14:ligatures w14:val="standardContextual"/>
    </w:rPr>
  </w:style>
  <w:style w:type="paragraph" w:styleId="14">
    <w:name w:val="Subtitle"/>
    <w:basedOn w:val="1"/>
    <w:next w:val="1"/>
    <w:link w:val="29"/>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8">
    <w:name w:val="Table Grid"/>
    <w:basedOn w:val="17"/>
    <w:qFormat/>
    <w:uiPriority w:val="0"/>
    <w:pPr>
      <w:widowControl w:val="0"/>
      <w:spacing w:after="0" w:line="240" w:lineRule="auto"/>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标题 1 字符"/>
    <w:basedOn w:val="16"/>
    <w:link w:val="3"/>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6"/>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6"/>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6"/>
    <w:link w:val="6"/>
    <w:semiHidden/>
    <w:qFormat/>
    <w:uiPriority w:val="9"/>
    <w:rPr>
      <w:rFonts w:cstheme="majorBidi"/>
      <w:color w:val="104862" w:themeColor="accent1" w:themeShade="BF"/>
      <w:sz w:val="28"/>
      <w:szCs w:val="28"/>
    </w:rPr>
  </w:style>
  <w:style w:type="character" w:customStyle="1" w:styleId="23">
    <w:name w:val="标题 5 字符"/>
    <w:basedOn w:val="16"/>
    <w:link w:val="7"/>
    <w:semiHidden/>
    <w:qFormat/>
    <w:uiPriority w:val="9"/>
    <w:rPr>
      <w:rFonts w:cstheme="majorBidi"/>
      <w:color w:val="104862" w:themeColor="accent1" w:themeShade="BF"/>
      <w:sz w:val="24"/>
    </w:rPr>
  </w:style>
  <w:style w:type="character" w:customStyle="1" w:styleId="24">
    <w:name w:val="标题 6 字符"/>
    <w:basedOn w:val="16"/>
    <w:link w:val="8"/>
    <w:semiHidden/>
    <w:qFormat/>
    <w:uiPriority w:val="9"/>
    <w:rPr>
      <w:rFonts w:cstheme="majorBidi"/>
      <w:b/>
      <w:bCs/>
      <w:color w:val="104862" w:themeColor="accent1" w:themeShade="BF"/>
    </w:rPr>
  </w:style>
  <w:style w:type="character" w:customStyle="1" w:styleId="25">
    <w:name w:val="标题 7 字符"/>
    <w:basedOn w:val="16"/>
    <w:link w:val="9"/>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6"/>
    <w:link w:val="10"/>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6"/>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6"/>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6"/>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line="278" w:lineRule="auto"/>
      <w:jc w:val="center"/>
    </w:pPr>
    <w:rPr>
      <w:rFonts w:asciiTheme="minorHAnsi" w:hAnsiTheme="minorHAnsi" w:eastAsiaTheme="minorEastAsia" w:cstheme="minorBidi"/>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1">
    <w:name w:val="引用 字符"/>
    <w:basedOn w:val="16"/>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szCs w:val="24"/>
      <w14:ligatures w14:val="standardContextual"/>
    </w:rPr>
  </w:style>
  <w:style w:type="character" w:customStyle="1" w:styleId="33">
    <w:name w:val="Intense Emphasis"/>
    <w:basedOn w:val="16"/>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EastAsia" w:cstheme="minorBidi"/>
      <w:i/>
      <w:iCs/>
      <w:color w:val="104862" w:themeColor="accent1" w:themeShade="BF"/>
      <w:sz w:val="22"/>
      <w:szCs w:val="24"/>
      <w14:ligatures w14:val="standardContextual"/>
    </w:rPr>
  </w:style>
  <w:style w:type="character" w:customStyle="1" w:styleId="35">
    <w:name w:val="明显引用 字符"/>
    <w:basedOn w:val="16"/>
    <w:link w:val="34"/>
    <w:qFormat/>
    <w:uiPriority w:val="30"/>
    <w:rPr>
      <w:i/>
      <w:iCs/>
      <w:color w:val="104862" w:themeColor="accent1" w:themeShade="BF"/>
    </w:rPr>
  </w:style>
  <w:style w:type="character" w:customStyle="1" w:styleId="36">
    <w:name w:val="Intense Reference"/>
    <w:basedOn w:val="16"/>
    <w:qFormat/>
    <w:uiPriority w:val="32"/>
    <w:rPr>
      <w:b/>
      <w:bCs/>
      <w:smallCaps/>
      <w:color w:val="104862" w:themeColor="accent1" w:themeShade="BF"/>
      <w:spacing w:val="5"/>
    </w:rPr>
  </w:style>
  <w:style w:type="character" w:customStyle="1" w:styleId="37">
    <w:name w:val="页眉 字符"/>
    <w:basedOn w:val="16"/>
    <w:link w:val="13"/>
    <w:qFormat/>
    <w:uiPriority w:val="99"/>
    <w:rPr>
      <w:sz w:val="18"/>
      <w:szCs w:val="18"/>
    </w:rPr>
  </w:style>
  <w:style w:type="character" w:customStyle="1" w:styleId="38">
    <w:name w:val="页脚 字符"/>
    <w:basedOn w:val="16"/>
    <w:link w:val="12"/>
    <w:qFormat/>
    <w:uiPriority w:val="99"/>
    <w:rPr>
      <w:sz w:val="18"/>
      <w:szCs w:val="18"/>
    </w:rPr>
  </w:style>
  <w:style w:type="character" w:customStyle="1" w:styleId="39">
    <w:name w:val="font01"/>
    <w:qFormat/>
    <w:uiPriority w:val="0"/>
    <w:rPr>
      <w:rFonts w:hint="eastAsia" w:ascii="宋体" w:hAnsi="宋体" w:eastAsia="宋体" w:cs="宋体"/>
      <w:color w:val="000000"/>
      <w:sz w:val="21"/>
      <w:szCs w:val="21"/>
      <w:u w:val="none"/>
    </w:rPr>
  </w:style>
  <w:style w:type="character" w:customStyle="1" w:styleId="40">
    <w:name w:val="脚注文本 字符"/>
    <w:basedOn w:val="16"/>
    <w:link w:val="2"/>
    <w:qFormat/>
    <w:uiPriority w:val="0"/>
    <w:rPr>
      <w:rFonts w:ascii="Calibri" w:hAnsi="Calibri" w:eastAsia="宋体" w:cs="Times New Roman"/>
      <w:sz w:val="18"/>
      <w:szCs w:val="22"/>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777</Words>
  <Characters>4435</Characters>
  <Lines>36</Lines>
  <Paragraphs>10</Paragraphs>
  <TotalTime>1</TotalTime>
  <ScaleCrop>false</ScaleCrop>
  <LinksUpToDate>false</LinksUpToDate>
  <CharactersWithSpaces>5202</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2026-07-08T03:33:00Z</dcterms:created>
  <dc:creator>Administrator</dc:creator>
  <cp:lastModifiedBy>Administrator</cp:lastModifiedBy>
  <dcterms:modified xsi:type="dcterms:W3CDTF">2026-07-13T03:10:56Z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